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456584" w14:textId="77777777" w:rsidR="00BE1C94" w:rsidRDefault="00BE1C94" w:rsidP="007215A1">
      <w:pPr>
        <w:spacing w:line="240" w:lineRule="auto"/>
        <w:jc w:val="center"/>
        <w:rPr>
          <w:rFonts w:ascii="Times New Roman" w:hAnsi="Times New Roman" w:cs="Times New Roman"/>
          <w:b/>
          <w:sz w:val="24"/>
          <w:szCs w:val="24"/>
          <w:u w:val="double"/>
        </w:rPr>
      </w:pPr>
    </w:p>
    <w:p w14:paraId="115463BB" w14:textId="77777777" w:rsidR="00BE1C94" w:rsidRDefault="00BE1C94" w:rsidP="007215A1">
      <w:pPr>
        <w:spacing w:line="240" w:lineRule="auto"/>
        <w:jc w:val="center"/>
        <w:rPr>
          <w:rFonts w:ascii="Times New Roman" w:hAnsi="Times New Roman" w:cs="Times New Roman"/>
          <w:b/>
          <w:sz w:val="24"/>
          <w:szCs w:val="24"/>
          <w:u w:val="double"/>
        </w:rPr>
      </w:pPr>
    </w:p>
    <w:p w14:paraId="6D82AA30" w14:textId="77777777" w:rsidR="00BE1C94" w:rsidRDefault="00BE1C94" w:rsidP="007215A1">
      <w:pPr>
        <w:spacing w:line="240" w:lineRule="auto"/>
        <w:jc w:val="center"/>
        <w:rPr>
          <w:rFonts w:ascii="Times New Roman" w:hAnsi="Times New Roman" w:cs="Times New Roman"/>
          <w:b/>
          <w:sz w:val="24"/>
          <w:szCs w:val="24"/>
          <w:u w:val="double"/>
        </w:rPr>
      </w:pPr>
    </w:p>
    <w:p w14:paraId="48C7E88D" w14:textId="77777777" w:rsidR="00BE1C94" w:rsidRDefault="00BE1C94" w:rsidP="007215A1">
      <w:pPr>
        <w:spacing w:line="240" w:lineRule="auto"/>
        <w:jc w:val="center"/>
        <w:rPr>
          <w:rFonts w:ascii="Times New Roman" w:hAnsi="Times New Roman" w:cs="Times New Roman"/>
          <w:b/>
          <w:sz w:val="24"/>
          <w:szCs w:val="24"/>
          <w:u w:val="double"/>
        </w:rPr>
      </w:pPr>
    </w:p>
    <w:p w14:paraId="38313F77" w14:textId="77777777" w:rsidR="00BE1C94" w:rsidRDefault="00BE1C94" w:rsidP="007215A1">
      <w:pPr>
        <w:spacing w:line="240" w:lineRule="auto"/>
        <w:jc w:val="center"/>
        <w:rPr>
          <w:rFonts w:ascii="Times New Roman" w:hAnsi="Times New Roman" w:cs="Times New Roman"/>
          <w:b/>
          <w:sz w:val="24"/>
          <w:szCs w:val="24"/>
          <w:u w:val="double"/>
        </w:rPr>
      </w:pPr>
    </w:p>
    <w:p w14:paraId="545C94B1" w14:textId="77777777" w:rsidR="00BE1C94" w:rsidRDefault="00BE1C94" w:rsidP="007215A1">
      <w:pPr>
        <w:spacing w:line="240" w:lineRule="auto"/>
        <w:jc w:val="center"/>
        <w:rPr>
          <w:rFonts w:ascii="Times New Roman" w:hAnsi="Times New Roman" w:cs="Times New Roman"/>
          <w:b/>
          <w:sz w:val="24"/>
          <w:szCs w:val="24"/>
          <w:u w:val="double"/>
        </w:rPr>
      </w:pPr>
    </w:p>
    <w:p w14:paraId="7EC129AE" w14:textId="77777777" w:rsidR="00BE1C94" w:rsidRDefault="00BE1C94" w:rsidP="007215A1">
      <w:pPr>
        <w:spacing w:line="240" w:lineRule="auto"/>
        <w:jc w:val="center"/>
        <w:rPr>
          <w:rFonts w:ascii="Times New Roman" w:hAnsi="Times New Roman" w:cs="Times New Roman"/>
          <w:b/>
          <w:sz w:val="24"/>
          <w:szCs w:val="24"/>
          <w:u w:val="double"/>
        </w:rPr>
      </w:pPr>
    </w:p>
    <w:p w14:paraId="5369012E" w14:textId="77777777" w:rsidR="00BE1C94" w:rsidRDefault="00BE1C94" w:rsidP="007215A1">
      <w:pPr>
        <w:spacing w:line="240" w:lineRule="auto"/>
        <w:jc w:val="center"/>
        <w:rPr>
          <w:rFonts w:ascii="Times New Roman" w:hAnsi="Times New Roman" w:cs="Times New Roman"/>
          <w:b/>
          <w:sz w:val="24"/>
          <w:szCs w:val="24"/>
          <w:u w:val="double"/>
        </w:rPr>
      </w:pPr>
    </w:p>
    <w:p w14:paraId="7E5F1D0C" w14:textId="77777777" w:rsidR="00BE1C94" w:rsidRDefault="00BE1C94" w:rsidP="007215A1">
      <w:pPr>
        <w:spacing w:line="240" w:lineRule="auto"/>
        <w:jc w:val="center"/>
        <w:rPr>
          <w:rFonts w:ascii="Times New Roman" w:hAnsi="Times New Roman" w:cs="Times New Roman"/>
          <w:b/>
          <w:sz w:val="24"/>
          <w:szCs w:val="24"/>
          <w:u w:val="double"/>
        </w:rPr>
      </w:pPr>
    </w:p>
    <w:p w14:paraId="21EA3F4F" w14:textId="77777777" w:rsidR="00BE1C94" w:rsidRDefault="00BE1C94" w:rsidP="007215A1">
      <w:pPr>
        <w:spacing w:line="240" w:lineRule="auto"/>
        <w:jc w:val="center"/>
        <w:rPr>
          <w:rFonts w:ascii="Times New Roman" w:hAnsi="Times New Roman" w:cs="Times New Roman"/>
          <w:b/>
          <w:sz w:val="24"/>
          <w:szCs w:val="24"/>
          <w:u w:val="double"/>
        </w:rPr>
      </w:pPr>
    </w:p>
    <w:p w14:paraId="328B8D8C" w14:textId="77777777" w:rsidR="00BE1C94" w:rsidRDefault="00BE1C94" w:rsidP="007215A1">
      <w:pPr>
        <w:spacing w:line="240" w:lineRule="auto"/>
        <w:jc w:val="center"/>
        <w:rPr>
          <w:rFonts w:ascii="Times New Roman" w:hAnsi="Times New Roman" w:cs="Times New Roman"/>
          <w:b/>
          <w:sz w:val="24"/>
          <w:szCs w:val="24"/>
          <w:u w:val="double"/>
        </w:rPr>
      </w:pPr>
    </w:p>
    <w:p w14:paraId="2EC1F127" w14:textId="77777777" w:rsidR="00BE1C94" w:rsidRDefault="00BE1C94" w:rsidP="007215A1">
      <w:pPr>
        <w:spacing w:line="240" w:lineRule="auto"/>
        <w:jc w:val="center"/>
        <w:rPr>
          <w:rFonts w:ascii="Times New Roman" w:hAnsi="Times New Roman" w:cs="Times New Roman"/>
          <w:bCs/>
          <w:sz w:val="24"/>
          <w:szCs w:val="24"/>
        </w:rPr>
      </w:pPr>
      <w:r>
        <w:rPr>
          <w:rFonts w:ascii="Times New Roman" w:hAnsi="Times New Roman" w:cs="Times New Roman"/>
          <w:bCs/>
          <w:sz w:val="24"/>
          <w:szCs w:val="24"/>
        </w:rPr>
        <w:t>Policy Project - The Need for Interoperable EMR Systems in the US Healthcare System</w:t>
      </w:r>
    </w:p>
    <w:p w14:paraId="690FDD12" w14:textId="77777777" w:rsidR="00BE1C94" w:rsidRDefault="00BE1C94" w:rsidP="007215A1">
      <w:pPr>
        <w:spacing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HCA 448: Health Care Analysis and Evaluation - Dr. Ellis-Griffith </w:t>
      </w:r>
    </w:p>
    <w:p w14:paraId="20A0FAD8" w14:textId="77777777" w:rsidR="00BE1C94" w:rsidRPr="00BE1C94" w:rsidRDefault="00BE1C94" w:rsidP="007215A1">
      <w:pPr>
        <w:spacing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Western Kentucky University </w:t>
      </w:r>
    </w:p>
    <w:p w14:paraId="5AC3FB3F" w14:textId="77777777" w:rsidR="00BE1C94" w:rsidRDefault="00BE1C94" w:rsidP="007215A1">
      <w:pPr>
        <w:spacing w:line="240" w:lineRule="auto"/>
        <w:jc w:val="center"/>
        <w:rPr>
          <w:rFonts w:ascii="Times New Roman" w:hAnsi="Times New Roman" w:cs="Times New Roman"/>
          <w:b/>
          <w:sz w:val="24"/>
          <w:szCs w:val="24"/>
          <w:u w:val="double"/>
        </w:rPr>
      </w:pPr>
    </w:p>
    <w:p w14:paraId="2B8A845E" w14:textId="77777777" w:rsidR="00BE1C94" w:rsidRDefault="00BE1C94" w:rsidP="007215A1">
      <w:pPr>
        <w:spacing w:line="240" w:lineRule="auto"/>
        <w:jc w:val="center"/>
        <w:rPr>
          <w:rFonts w:ascii="Times New Roman" w:hAnsi="Times New Roman" w:cs="Times New Roman"/>
          <w:b/>
          <w:sz w:val="24"/>
          <w:szCs w:val="24"/>
          <w:u w:val="double"/>
        </w:rPr>
      </w:pPr>
    </w:p>
    <w:p w14:paraId="7C04D3E0" w14:textId="77777777" w:rsidR="00BE1C94" w:rsidRPr="00BE1C94" w:rsidRDefault="00BE1C94" w:rsidP="007215A1">
      <w:pPr>
        <w:spacing w:line="240" w:lineRule="auto"/>
        <w:jc w:val="center"/>
        <w:rPr>
          <w:rFonts w:ascii="Times New Roman" w:hAnsi="Times New Roman" w:cs="Times New Roman"/>
          <w:bCs/>
          <w:sz w:val="24"/>
          <w:szCs w:val="24"/>
        </w:rPr>
      </w:pPr>
    </w:p>
    <w:p w14:paraId="60412E63" w14:textId="77777777" w:rsidR="00A4307E" w:rsidRDefault="00BE1C94" w:rsidP="00BE1C94">
      <w:pPr>
        <w:spacing w:after="0" w:line="240" w:lineRule="auto"/>
        <w:rPr>
          <w:rFonts w:ascii="Times New Roman" w:hAnsi="Times New Roman" w:cs="Times New Roman"/>
          <w:b/>
          <w:sz w:val="24"/>
          <w:szCs w:val="24"/>
          <w:u w:val="double"/>
        </w:rPr>
      </w:pPr>
      <w:r>
        <w:rPr>
          <w:rFonts w:ascii="Times New Roman" w:hAnsi="Times New Roman" w:cs="Times New Roman"/>
          <w:b/>
          <w:sz w:val="24"/>
          <w:szCs w:val="24"/>
          <w:u w:val="double"/>
        </w:rPr>
        <w:br w:type="page"/>
      </w:r>
    </w:p>
    <w:p w14:paraId="3F9D691A" w14:textId="77777777" w:rsidR="00403BBA" w:rsidRDefault="00403BBA" w:rsidP="007215A1">
      <w:pPr>
        <w:spacing w:line="240" w:lineRule="auto"/>
        <w:jc w:val="center"/>
        <w:rPr>
          <w:rFonts w:ascii="Times New Roman" w:hAnsi="Times New Roman" w:cs="Times New Roman"/>
          <w:b/>
          <w:sz w:val="24"/>
          <w:szCs w:val="24"/>
          <w:u w:val="double"/>
        </w:rPr>
      </w:pPr>
      <w:r w:rsidRPr="00403BBA">
        <w:rPr>
          <w:rFonts w:ascii="Times New Roman" w:hAnsi="Times New Roman" w:cs="Times New Roman"/>
          <w:b/>
          <w:sz w:val="24"/>
          <w:szCs w:val="24"/>
          <w:u w:val="double"/>
        </w:rPr>
        <w:lastRenderedPageBreak/>
        <w:t xml:space="preserve">I: Assessment (15 Points) </w:t>
      </w:r>
    </w:p>
    <w:p w14:paraId="210FEE04" w14:textId="77777777" w:rsidR="00A4307E" w:rsidRPr="00A4307E" w:rsidRDefault="00A4307E" w:rsidP="00A4307E">
      <w:pPr>
        <w:spacing w:after="0" w:line="240" w:lineRule="auto"/>
        <w:rPr>
          <w:rFonts w:ascii="-webkit-standard" w:eastAsia="Times New Roman" w:hAnsi="-webkit-standard" w:cs="Times New Roman"/>
          <w:color w:val="000000"/>
          <w:sz w:val="24"/>
          <w:szCs w:val="24"/>
        </w:rPr>
      </w:pPr>
    </w:p>
    <w:p w14:paraId="7B2ADF66" w14:textId="52BBE9E3" w:rsidR="00A4307E" w:rsidRDefault="00A4307E" w:rsidP="00A4307E">
      <w:pPr>
        <w:spacing w:after="0" w:line="240" w:lineRule="auto"/>
        <w:rPr>
          <w:rFonts w:ascii="-webkit-standard" w:eastAsia="Times New Roman" w:hAnsi="-webkit-standard" w:cs="Times New Roman"/>
          <w:color w:val="000000"/>
          <w:sz w:val="24"/>
          <w:szCs w:val="24"/>
        </w:rPr>
      </w:pPr>
      <w:r w:rsidRPr="00A4307E">
        <w:rPr>
          <w:rFonts w:ascii="Times New Roman" w:eastAsia="Times New Roman" w:hAnsi="Times New Roman" w:cs="Times New Roman"/>
          <w:color w:val="000000"/>
          <w:sz w:val="24"/>
          <w:szCs w:val="24"/>
        </w:rPr>
        <w:t>Patients are experiencing limited access to healthcare due to the out-of-pocket costs they have to face.  Along with the limitations to access, the costs of medicine are becoming impossible for patients to overcome.  Health insurance coverages and high deductibles lead the patients to a breaking point, resulting in the decisions to not see their providers.  If patients are scared to see their providers, the issues they have to face becomes more than just the money they have to pay. Doctors are scared to get sued for their services so they are requesting unnecessary tests being done to these patients who are already worried about the cost of the visit alone.  America’s health system is falling in the rankings because of the out-of-pocket costs and the high deductibles patients have to pay just to be seen by their doctor.   </w:t>
      </w:r>
    </w:p>
    <w:p w14:paraId="36C944FD" w14:textId="77777777" w:rsidR="00A4307E" w:rsidRPr="00A4307E" w:rsidRDefault="00A4307E" w:rsidP="00A4307E">
      <w:pPr>
        <w:spacing w:after="0" w:line="240" w:lineRule="auto"/>
        <w:rPr>
          <w:rFonts w:ascii="-webkit-standard" w:eastAsia="Times New Roman" w:hAnsi="-webkit-standard" w:cs="Times New Roman"/>
          <w:color w:val="000000"/>
          <w:sz w:val="24"/>
          <w:szCs w:val="24"/>
        </w:rPr>
      </w:pPr>
    </w:p>
    <w:p w14:paraId="62687E57" w14:textId="77777777" w:rsidR="00403BBA" w:rsidRPr="00403BBA" w:rsidRDefault="00403BBA" w:rsidP="007215A1">
      <w:pPr>
        <w:spacing w:line="240" w:lineRule="auto"/>
        <w:jc w:val="center"/>
        <w:rPr>
          <w:rFonts w:ascii="Times New Roman" w:hAnsi="Times New Roman" w:cs="Times New Roman"/>
          <w:b/>
          <w:color w:val="000000"/>
          <w:sz w:val="24"/>
          <w:szCs w:val="24"/>
          <w:u w:val="double"/>
        </w:rPr>
      </w:pPr>
      <w:r w:rsidRPr="00403BBA">
        <w:rPr>
          <w:rFonts w:ascii="Times New Roman" w:hAnsi="Times New Roman" w:cs="Times New Roman"/>
          <w:b/>
          <w:color w:val="000000"/>
          <w:sz w:val="24"/>
          <w:szCs w:val="24"/>
          <w:u w:val="double"/>
        </w:rPr>
        <w:t xml:space="preserve">II: Policy Development (35 Points per Individual) </w:t>
      </w:r>
    </w:p>
    <w:p w14:paraId="5DC3C70A" w14:textId="77777777" w:rsidR="00403BBA" w:rsidRDefault="006143C1" w:rsidP="007215A1">
      <w:pPr>
        <w:spacing w:line="240" w:lineRule="auto"/>
        <w:rPr>
          <w:rFonts w:ascii="Times New Roman" w:hAnsi="Times New Roman" w:cs="Times New Roman"/>
          <w:sz w:val="24"/>
          <w:szCs w:val="24"/>
        </w:rPr>
      </w:pPr>
      <w:r w:rsidRPr="006143C1">
        <w:rPr>
          <w:rFonts w:ascii="Times New Roman" w:hAnsi="Times New Roman" w:cs="Times New Roman"/>
          <w:b/>
          <w:bCs/>
          <w:sz w:val="24"/>
          <w:szCs w:val="24"/>
        </w:rPr>
        <w:t xml:space="preserve">There is a lack of </w:t>
      </w:r>
      <w:r w:rsidR="005F5D3D">
        <w:rPr>
          <w:rFonts w:ascii="Times New Roman" w:hAnsi="Times New Roman" w:cs="Times New Roman"/>
          <w:b/>
          <w:bCs/>
          <w:sz w:val="24"/>
          <w:szCs w:val="24"/>
        </w:rPr>
        <w:t>interoperability in</w:t>
      </w:r>
      <w:r w:rsidRPr="006143C1">
        <w:rPr>
          <w:rFonts w:ascii="Times New Roman" w:hAnsi="Times New Roman" w:cs="Times New Roman"/>
          <w:b/>
          <w:bCs/>
          <w:sz w:val="24"/>
          <w:szCs w:val="24"/>
        </w:rPr>
        <w:t xml:space="preserve"> electronic medical record (EMR) keeping systems in the United States health care system. </w:t>
      </w:r>
      <w:r>
        <w:rPr>
          <w:rFonts w:ascii="Times New Roman" w:hAnsi="Times New Roman" w:cs="Times New Roman"/>
          <w:sz w:val="24"/>
          <w:szCs w:val="24"/>
        </w:rPr>
        <w:t xml:space="preserve">Although technology has become a big part </w:t>
      </w:r>
      <w:r w:rsidR="00973F67">
        <w:rPr>
          <w:rFonts w:ascii="Times New Roman" w:hAnsi="Times New Roman" w:cs="Times New Roman"/>
          <w:sz w:val="24"/>
          <w:szCs w:val="24"/>
        </w:rPr>
        <w:t>in the daily life of most people</w:t>
      </w:r>
      <w:r>
        <w:rPr>
          <w:rFonts w:ascii="Times New Roman" w:hAnsi="Times New Roman" w:cs="Times New Roman"/>
          <w:sz w:val="24"/>
          <w:szCs w:val="24"/>
        </w:rPr>
        <w:t xml:space="preserve">, the health care industry has been slow to adapt to such advancements. </w:t>
      </w:r>
      <w:r w:rsidRPr="006143C1">
        <w:rPr>
          <w:rFonts w:ascii="Times New Roman" w:hAnsi="Times New Roman" w:cs="Times New Roman"/>
          <w:sz w:val="24"/>
          <w:szCs w:val="24"/>
        </w:rPr>
        <w:t xml:space="preserve">Through different studies it has been found that health care facilities that implement a basic electronic medical record (EMR) keeping system have a shorter length of stay in the facility and less rework being done; which ultimately results in </w:t>
      </w:r>
      <w:r w:rsidRPr="00973F67">
        <w:rPr>
          <w:rFonts w:ascii="Times New Roman" w:hAnsi="Times New Roman" w:cs="Times New Roman"/>
          <w:b/>
          <w:bCs/>
          <w:sz w:val="24"/>
          <w:szCs w:val="24"/>
        </w:rPr>
        <w:t>lower cost</w:t>
      </w:r>
      <w:r w:rsidRPr="006143C1">
        <w:rPr>
          <w:rFonts w:ascii="Times New Roman" w:hAnsi="Times New Roman" w:cs="Times New Roman"/>
          <w:sz w:val="24"/>
          <w:szCs w:val="24"/>
        </w:rPr>
        <w:t xml:space="preserve"> to the organization. In addition to this, facilities that have implemented an EMR system reported an eighteen percent </w:t>
      </w:r>
      <w:r w:rsidRPr="00973F67">
        <w:rPr>
          <w:rFonts w:ascii="Times New Roman" w:hAnsi="Times New Roman" w:cs="Times New Roman"/>
          <w:b/>
          <w:bCs/>
          <w:sz w:val="24"/>
          <w:szCs w:val="24"/>
        </w:rPr>
        <w:t>decrease in 30-day mortality rate</w:t>
      </w:r>
      <w:r w:rsidRPr="006143C1">
        <w:rPr>
          <w:rFonts w:ascii="Times New Roman" w:hAnsi="Times New Roman" w:cs="Times New Roman"/>
          <w:sz w:val="24"/>
          <w:szCs w:val="24"/>
        </w:rPr>
        <w:t xml:space="preserve"> (Lee, Kuo, Goodwin, 2013). With the use of EMRs, </w:t>
      </w:r>
      <w:r w:rsidRPr="00973F67">
        <w:rPr>
          <w:rFonts w:ascii="Times New Roman" w:hAnsi="Times New Roman" w:cs="Times New Roman"/>
          <w:b/>
          <w:bCs/>
          <w:sz w:val="24"/>
          <w:szCs w:val="24"/>
        </w:rPr>
        <w:t>morbidity and comorbidity are more easily made aware of and controlled</w:t>
      </w:r>
      <w:r w:rsidRPr="006143C1">
        <w:rPr>
          <w:rFonts w:ascii="Times New Roman" w:hAnsi="Times New Roman" w:cs="Times New Roman"/>
          <w:sz w:val="24"/>
          <w:szCs w:val="24"/>
        </w:rPr>
        <w:t>; resulting in safer, quality care being provided to patients. Although the implementation of EMRs can be pricey, in the long run they lower costs, lower mortality rates,</w:t>
      </w:r>
      <w:r w:rsidR="00973F67">
        <w:rPr>
          <w:rFonts w:ascii="Times New Roman" w:hAnsi="Times New Roman" w:cs="Times New Roman"/>
          <w:sz w:val="24"/>
          <w:szCs w:val="24"/>
        </w:rPr>
        <w:t xml:space="preserve"> </w:t>
      </w:r>
      <w:r w:rsidRPr="006143C1">
        <w:rPr>
          <w:rFonts w:ascii="Times New Roman" w:hAnsi="Times New Roman" w:cs="Times New Roman"/>
          <w:sz w:val="24"/>
          <w:szCs w:val="24"/>
        </w:rPr>
        <w:t>and provide better care to patients; which results in higher reimbursements.</w:t>
      </w:r>
      <w:r w:rsidR="00973F67">
        <w:rPr>
          <w:rFonts w:ascii="Times New Roman" w:hAnsi="Times New Roman" w:cs="Times New Roman"/>
          <w:sz w:val="24"/>
          <w:szCs w:val="24"/>
        </w:rPr>
        <w:t xml:space="preserve"> </w:t>
      </w:r>
      <w:r w:rsidR="005F5D3D">
        <w:rPr>
          <w:rFonts w:ascii="Times New Roman" w:hAnsi="Times New Roman" w:cs="Times New Roman"/>
          <w:sz w:val="24"/>
          <w:szCs w:val="24"/>
        </w:rPr>
        <w:t>Considering these performance leaps, despite the interoperability of most EMR systems in use, finding a system that can interchange information among health</w:t>
      </w:r>
      <w:r w:rsidR="007215A1">
        <w:rPr>
          <w:rFonts w:ascii="Times New Roman" w:hAnsi="Times New Roman" w:cs="Times New Roman"/>
          <w:sz w:val="24"/>
          <w:szCs w:val="24"/>
        </w:rPr>
        <w:t xml:space="preserve"> </w:t>
      </w:r>
      <w:r w:rsidR="005F5D3D">
        <w:rPr>
          <w:rFonts w:ascii="Times New Roman" w:hAnsi="Times New Roman" w:cs="Times New Roman"/>
          <w:sz w:val="24"/>
          <w:szCs w:val="24"/>
        </w:rPr>
        <w:t>care providers would prove even more beneficial for health</w:t>
      </w:r>
      <w:r w:rsidR="007215A1">
        <w:rPr>
          <w:rFonts w:ascii="Times New Roman" w:hAnsi="Times New Roman" w:cs="Times New Roman"/>
          <w:sz w:val="24"/>
          <w:szCs w:val="24"/>
        </w:rPr>
        <w:t xml:space="preserve"> </w:t>
      </w:r>
      <w:r w:rsidR="005F5D3D">
        <w:rPr>
          <w:rFonts w:ascii="Times New Roman" w:hAnsi="Times New Roman" w:cs="Times New Roman"/>
          <w:sz w:val="24"/>
          <w:szCs w:val="24"/>
        </w:rPr>
        <w:t xml:space="preserve">care organizations. </w:t>
      </w:r>
    </w:p>
    <w:p w14:paraId="3AB7B901" w14:textId="77777777" w:rsidR="006143C1" w:rsidRDefault="006143C1" w:rsidP="007215A1">
      <w:pPr>
        <w:spacing w:line="240" w:lineRule="auto"/>
        <w:rPr>
          <w:rFonts w:ascii="Times New Roman" w:hAnsi="Times New Roman" w:cs="Times New Roman"/>
          <w:b/>
          <w:bCs/>
          <w:sz w:val="24"/>
          <w:szCs w:val="24"/>
          <w:u w:val="single"/>
        </w:rPr>
      </w:pPr>
      <w:r w:rsidRPr="003139DA">
        <w:rPr>
          <w:rFonts w:ascii="Times New Roman" w:hAnsi="Times New Roman" w:cs="Times New Roman"/>
          <w:b/>
          <w:bCs/>
          <w:sz w:val="24"/>
          <w:szCs w:val="24"/>
          <w:u w:val="single"/>
        </w:rPr>
        <w:t xml:space="preserve">Specific Problems, Solutions, and Cost </w:t>
      </w:r>
    </w:p>
    <w:p w14:paraId="35412432" w14:textId="77777777" w:rsidR="007215A1" w:rsidRPr="007215A1" w:rsidRDefault="007215A1" w:rsidP="007215A1">
      <w:pPr>
        <w:spacing w:line="240" w:lineRule="auto"/>
        <w:rPr>
          <w:rFonts w:ascii="Times New Roman" w:hAnsi="Times New Roman" w:cs="Times New Roman"/>
          <w:bCs/>
          <w:iCs/>
          <w:sz w:val="24"/>
          <w:szCs w:val="24"/>
        </w:rPr>
      </w:pPr>
      <w:r>
        <w:rPr>
          <w:rFonts w:ascii="Times New Roman" w:hAnsi="Times New Roman" w:cs="Times New Roman"/>
          <w:noProof/>
          <w:sz w:val="24"/>
          <w:szCs w:val="24"/>
        </w:rPr>
        <w:drawing>
          <wp:anchor distT="0" distB="0" distL="114300" distR="114300" simplePos="0" relativeHeight="251661312" behindDoc="0" locked="0" layoutInCell="1" allowOverlap="1" wp14:anchorId="4EC1F8FD" wp14:editId="0279ED36">
            <wp:simplePos x="0" y="0"/>
            <wp:positionH relativeFrom="column">
              <wp:posOffset>2019300</wp:posOffset>
            </wp:positionH>
            <wp:positionV relativeFrom="paragraph">
              <wp:posOffset>766445</wp:posOffset>
            </wp:positionV>
            <wp:extent cx="4127500" cy="2623820"/>
            <wp:effectExtent l="0" t="0" r="0" b="5080"/>
            <wp:wrapThrough wrapText="bothSides">
              <wp:wrapPolygon edited="0">
                <wp:start x="0" y="0"/>
                <wp:lineTo x="0" y="21537"/>
                <wp:lineTo x="21534" y="21537"/>
                <wp:lineTo x="21534" y="0"/>
                <wp:lineTo x="0" y="0"/>
              </wp:wrapPolygon>
            </wp:wrapThrough>
            <wp:docPr id="3" name="Picture 3">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4127500" cy="2623820"/>
                    </a:xfrm>
                    <a:prstGeom prst="rect">
                      <a:avLst/>
                    </a:prstGeom>
                  </pic:spPr>
                </pic:pic>
              </a:graphicData>
            </a:graphic>
            <wp14:sizeRelH relativeFrom="page">
              <wp14:pctWidth>0</wp14:pctWidth>
            </wp14:sizeRelH>
            <wp14:sizeRelV relativeFrom="page">
              <wp14:pctHeight>0</wp14:pctHeight>
            </wp14:sizeRelV>
          </wp:anchor>
        </w:drawing>
      </w:r>
      <w:r w:rsidR="005F5D3D">
        <w:rPr>
          <w:rFonts w:ascii="Times New Roman" w:hAnsi="Times New Roman" w:cs="Times New Roman"/>
          <w:sz w:val="24"/>
          <w:szCs w:val="24"/>
        </w:rPr>
        <w:t>The passing of the Health Information Technology for Economic and Clinical Health (HITECH) Act was signed into law on February 17, 2009, and its purpose was to promote the adoption and meaningful use of health information technology (</w:t>
      </w:r>
      <w:r>
        <w:rPr>
          <w:rFonts w:ascii="Times New Roman" w:hAnsi="Times New Roman" w:cs="Times New Roman"/>
          <w:sz w:val="24"/>
          <w:szCs w:val="24"/>
        </w:rPr>
        <w:t>HHS Office, 2017</w:t>
      </w:r>
      <w:r w:rsidR="005F5D3D">
        <w:rPr>
          <w:rFonts w:ascii="Times New Roman" w:hAnsi="Times New Roman" w:cs="Times New Roman"/>
          <w:sz w:val="24"/>
          <w:szCs w:val="24"/>
        </w:rPr>
        <w:t xml:space="preserve">). After its implementation, to </w:t>
      </w:r>
      <w:r w:rsidR="005F5D3D">
        <w:rPr>
          <w:rFonts w:ascii="Times New Roman" w:hAnsi="Times New Roman" w:cs="Times New Roman"/>
          <w:bCs/>
          <w:iCs/>
          <w:sz w:val="24"/>
          <w:szCs w:val="24"/>
        </w:rPr>
        <w:t>receive the payment incentives and not be penalized, it was found that 96% of acute care hospitals had adopted some form of an accepted EMR system (</w:t>
      </w:r>
      <w:r>
        <w:rPr>
          <w:rFonts w:ascii="Times New Roman" w:hAnsi="Times New Roman" w:cs="Times New Roman"/>
          <w:bCs/>
          <w:iCs/>
          <w:sz w:val="24"/>
          <w:szCs w:val="24"/>
        </w:rPr>
        <w:t>Ray et al,</w:t>
      </w:r>
      <w:r w:rsidR="005F5D3D">
        <w:rPr>
          <w:rFonts w:ascii="Times New Roman" w:hAnsi="Times New Roman" w:cs="Times New Roman"/>
          <w:bCs/>
          <w:iCs/>
          <w:sz w:val="24"/>
          <w:szCs w:val="24"/>
        </w:rPr>
        <w:t xml:space="preserve"> 2019). </w:t>
      </w:r>
      <w:r>
        <w:rPr>
          <w:rFonts w:ascii="Times New Roman" w:hAnsi="Times New Roman" w:cs="Times New Roman"/>
          <w:bCs/>
          <w:iCs/>
          <w:sz w:val="24"/>
          <w:szCs w:val="24"/>
        </w:rPr>
        <w:t xml:space="preserve">As seen in Figure one, there has been a steady </w:t>
      </w:r>
      <w:r>
        <w:rPr>
          <w:rFonts w:ascii="Times New Roman" w:hAnsi="Times New Roman" w:cs="Times New Roman"/>
          <w:bCs/>
          <w:iCs/>
          <w:sz w:val="24"/>
          <w:szCs w:val="24"/>
        </w:rPr>
        <w:lastRenderedPageBreak/>
        <w:t>increase in the utilization of EMR systems</w:t>
      </w:r>
      <w:r w:rsidR="00BE1C94">
        <w:rPr>
          <w:rFonts w:ascii="Times New Roman" w:hAnsi="Times New Roman" w:cs="Times New Roman"/>
          <w:bCs/>
          <w:iCs/>
          <w:sz w:val="24"/>
          <w:szCs w:val="24"/>
        </w:rPr>
        <w:t xml:space="preserve"> (Adoption of EHR Systems among US Non-Federal Acute Care Hospitals, 2015)</w:t>
      </w:r>
      <w:r>
        <w:rPr>
          <w:rFonts w:ascii="Times New Roman" w:hAnsi="Times New Roman" w:cs="Times New Roman"/>
          <w:bCs/>
          <w:iCs/>
          <w:sz w:val="24"/>
          <w:szCs w:val="24"/>
        </w:rPr>
        <w:t xml:space="preserve">. </w:t>
      </w:r>
      <w:r w:rsidR="005F5D3D">
        <w:rPr>
          <w:rFonts w:ascii="Times New Roman" w:hAnsi="Times New Roman" w:cs="Times New Roman"/>
          <w:bCs/>
          <w:iCs/>
          <w:sz w:val="24"/>
          <w:szCs w:val="24"/>
        </w:rPr>
        <w:t>Although the substantial increase in electronic health record adoption across the country, this has not led to health data that is easily accessed. The systems deemed acceptable are not interoperable with one another, making patients frustrated and clinicians unable to make informed decisions. The HITECH Act pushed interoperability in a limited way, instead of creating a marke</w:t>
      </w:r>
      <w:r>
        <w:rPr>
          <w:rFonts w:ascii="Times New Roman" w:hAnsi="Times New Roman" w:cs="Times New Roman"/>
          <w:bCs/>
          <w:iCs/>
          <w:sz w:val="24"/>
          <w:szCs w:val="24"/>
        </w:rPr>
        <w:t xml:space="preserve">t </w:t>
      </w:r>
      <w:r w:rsidR="005F5D3D">
        <w:rPr>
          <w:rFonts w:ascii="Times New Roman" w:hAnsi="Times New Roman" w:cs="Times New Roman"/>
          <w:bCs/>
          <w:iCs/>
          <w:sz w:val="24"/>
          <w:szCs w:val="24"/>
        </w:rPr>
        <w:t>demand for robust interoperability (Adler-Milstein, 2017). This difficulty in exchanging patient information has led to many specific problems in the health</w:t>
      </w:r>
      <w:r>
        <w:rPr>
          <w:rFonts w:ascii="Times New Roman" w:hAnsi="Times New Roman" w:cs="Times New Roman"/>
          <w:bCs/>
          <w:iCs/>
          <w:sz w:val="24"/>
          <w:szCs w:val="24"/>
        </w:rPr>
        <w:t xml:space="preserve"> </w:t>
      </w:r>
      <w:r w:rsidR="005F5D3D">
        <w:rPr>
          <w:rFonts w:ascii="Times New Roman" w:hAnsi="Times New Roman" w:cs="Times New Roman"/>
          <w:bCs/>
          <w:iCs/>
          <w:sz w:val="24"/>
          <w:szCs w:val="24"/>
        </w:rPr>
        <w:t xml:space="preserve">care system, but could seemingly be diminished through regulation of the standards set forth by the HITECH Act. </w:t>
      </w:r>
    </w:p>
    <w:p w14:paraId="1F165AEC" w14:textId="77777777" w:rsidR="00EC1BD2" w:rsidRDefault="006143C1" w:rsidP="007215A1">
      <w:pPr>
        <w:spacing w:line="240" w:lineRule="auto"/>
        <w:rPr>
          <w:rFonts w:ascii="Times New Roman" w:hAnsi="Times New Roman" w:cs="Times New Roman"/>
          <w:bCs/>
          <w:sz w:val="24"/>
          <w:szCs w:val="24"/>
        </w:rPr>
      </w:pPr>
      <w:r w:rsidRPr="006143C1">
        <w:rPr>
          <w:rFonts w:ascii="Times New Roman" w:hAnsi="Times New Roman" w:cs="Times New Roman"/>
          <w:b/>
          <w:sz w:val="24"/>
          <w:szCs w:val="24"/>
        </w:rPr>
        <w:t xml:space="preserve">There is a lack </w:t>
      </w:r>
      <w:r w:rsidR="00973F67">
        <w:rPr>
          <w:rFonts w:ascii="Times New Roman" w:hAnsi="Times New Roman" w:cs="Times New Roman"/>
          <w:b/>
          <w:sz w:val="24"/>
          <w:szCs w:val="24"/>
        </w:rPr>
        <w:t>of</w:t>
      </w:r>
      <w:r w:rsidRPr="006143C1">
        <w:rPr>
          <w:rFonts w:ascii="Times New Roman" w:hAnsi="Times New Roman" w:cs="Times New Roman"/>
          <w:b/>
          <w:sz w:val="24"/>
          <w:szCs w:val="24"/>
        </w:rPr>
        <w:t xml:space="preserve"> coordination </w:t>
      </w:r>
      <w:r w:rsidR="00973F67">
        <w:rPr>
          <w:rFonts w:ascii="Times New Roman" w:hAnsi="Times New Roman" w:cs="Times New Roman"/>
          <w:b/>
          <w:sz w:val="24"/>
          <w:szCs w:val="24"/>
        </w:rPr>
        <w:t>in</w:t>
      </w:r>
      <w:r w:rsidRPr="006143C1">
        <w:rPr>
          <w:rFonts w:ascii="Times New Roman" w:hAnsi="Times New Roman" w:cs="Times New Roman"/>
          <w:b/>
          <w:sz w:val="24"/>
          <w:szCs w:val="24"/>
        </w:rPr>
        <w:t xml:space="preserve"> care among different </w:t>
      </w:r>
      <w:r w:rsidR="00973F67">
        <w:rPr>
          <w:rFonts w:ascii="Times New Roman" w:hAnsi="Times New Roman" w:cs="Times New Roman"/>
          <w:b/>
          <w:sz w:val="24"/>
          <w:szCs w:val="24"/>
        </w:rPr>
        <w:t>health care providers</w:t>
      </w:r>
      <w:r>
        <w:rPr>
          <w:rFonts w:ascii="Times New Roman" w:hAnsi="Times New Roman" w:cs="Times New Roman"/>
          <w:b/>
          <w:sz w:val="24"/>
          <w:szCs w:val="24"/>
        </w:rPr>
        <w:t xml:space="preserve"> that stems from not having a</w:t>
      </w:r>
      <w:r w:rsidR="005F5D3D">
        <w:rPr>
          <w:rFonts w:ascii="Times New Roman" w:hAnsi="Times New Roman" w:cs="Times New Roman"/>
          <w:b/>
          <w:sz w:val="24"/>
          <w:szCs w:val="24"/>
        </w:rPr>
        <w:t xml:space="preserve">n interoperable </w:t>
      </w:r>
      <w:r>
        <w:rPr>
          <w:rFonts w:ascii="Times New Roman" w:hAnsi="Times New Roman" w:cs="Times New Roman"/>
          <w:b/>
          <w:sz w:val="24"/>
          <w:szCs w:val="24"/>
        </w:rPr>
        <w:t>EMR system</w:t>
      </w:r>
      <w:r w:rsidRPr="006143C1">
        <w:rPr>
          <w:rFonts w:ascii="Times New Roman" w:hAnsi="Times New Roman" w:cs="Times New Roman"/>
          <w:b/>
          <w:sz w:val="24"/>
          <w:szCs w:val="24"/>
        </w:rPr>
        <w:t xml:space="preserve">. </w:t>
      </w:r>
      <w:r w:rsidR="008F730D" w:rsidRPr="006143C1">
        <w:rPr>
          <w:rFonts w:ascii="Times New Roman" w:hAnsi="Times New Roman" w:cs="Times New Roman"/>
          <w:b/>
          <w:sz w:val="24"/>
          <w:szCs w:val="24"/>
        </w:rPr>
        <w:t>To properly combat communication issues</w:t>
      </w:r>
      <w:r w:rsidR="008F730D">
        <w:rPr>
          <w:rFonts w:ascii="Times New Roman" w:hAnsi="Times New Roman" w:cs="Times New Roman"/>
          <w:b/>
          <w:sz w:val="24"/>
          <w:szCs w:val="24"/>
        </w:rPr>
        <w:t xml:space="preserve"> among health care providers that often result in poor quality care</w:t>
      </w:r>
      <w:r w:rsidR="008F730D" w:rsidRPr="006143C1">
        <w:rPr>
          <w:rFonts w:ascii="Times New Roman" w:hAnsi="Times New Roman" w:cs="Times New Roman"/>
          <w:b/>
          <w:sz w:val="24"/>
          <w:szCs w:val="24"/>
        </w:rPr>
        <w:t xml:space="preserve">, </w:t>
      </w:r>
      <w:r w:rsidR="005F5D3D">
        <w:rPr>
          <w:rFonts w:ascii="Times New Roman" w:hAnsi="Times New Roman" w:cs="Times New Roman"/>
          <w:b/>
          <w:sz w:val="24"/>
          <w:szCs w:val="24"/>
        </w:rPr>
        <w:t xml:space="preserve">the HITECH Act must be revised and an interoperable EMR system must be found. </w:t>
      </w:r>
      <w:r w:rsidR="008F730D" w:rsidRPr="006143C1">
        <w:rPr>
          <w:rFonts w:ascii="Times New Roman" w:hAnsi="Times New Roman" w:cs="Times New Roman"/>
          <w:b/>
          <w:sz w:val="24"/>
          <w:szCs w:val="24"/>
        </w:rPr>
        <w:t xml:space="preserve">Considering that care providers are penalized if it is found they are providing less than quality care, </w:t>
      </w:r>
      <w:r w:rsidR="008F730D">
        <w:rPr>
          <w:rFonts w:ascii="Times New Roman" w:hAnsi="Times New Roman" w:cs="Times New Roman"/>
          <w:b/>
          <w:sz w:val="24"/>
          <w:szCs w:val="24"/>
        </w:rPr>
        <w:t>despite the initial start-up cost being expensive, health care organizations would ultimately save and make more money with the implementation of a universally accepted EMR system</w:t>
      </w:r>
      <w:r w:rsidR="008F730D" w:rsidRPr="006143C1">
        <w:rPr>
          <w:rFonts w:ascii="Times New Roman" w:hAnsi="Times New Roman" w:cs="Times New Roman"/>
          <w:b/>
          <w:sz w:val="24"/>
          <w:szCs w:val="24"/>
        </w:rPr>
        <w:t xml:space="preserve">. </w:t>
      </w:r>
      <w:r w:rsidR="005F5D3D">
        <w:rPr>
          <w:rFonts w:ascii="Times New Roman" w:hAnsi="Times New Roman" w:cs="Times New Roman"/>
          <w:bCs/>
          <w:sz w:val="24"/>
          <w:szCs w:val="24"/>
        </w:rPr>
        <w:t xml:space="preserve">As previously stated, the HITECH Act was signed into law to promote the use of health information technology and the meaningful use of it. While this was its purpose, it did not ensure the interoperability of the accepted EMR systems. To start toward improving this issue, the act should reconsider all the approved EMR systems and make that selection narrower; which would in turn, make the scope of interoperability problems limited. </w:t>
      </w:r>
      <w:r w:rsidR="001E1C25">
        <w:rPr>
          <w:rFonts w:ascii="Times New Roman" w:hAnsi="Times New Roman" w:cs="Times New Roman"/>
          <w:bCs/>
          <w:sz w:val="24"/>
          <w:szCs w:val="24"/>
        </w:rPr>
        <w:t>Considering that the installation of an EMR system within a facility costs anywhere from $15,000-$70,000, there has to be adequate funding set aside to determine compatible systems. Also, considering that $27 million has been used for incentive purposes in the previously deemed acceptable EMR systems</w:t>
      </w:r>
      <w:r w:rsidR="007215A1">
        <w:rPr>
          <w:rFonts w:ascii="Times New Roman" w:hAnsi="Times New Roman" w:cs="Times New Roman"/>
          <w:bCs/>
          <w:sz w:val="24"/>
          <w:szCs w:val="24"/>
        </w:rPr>
        <w:t xml:space="preserve">, taking $10 million, less than half of the incentives money, to properly find interoperable EMR systems is an adequate amount and will save the health care system in time, money, and resources in the long run (Halamka, 2010). </w:t>
      </w:r>
    </w:p>
    <w:p w14:paraId="37AAD186" w14:textId="77777777" w:rsidR="00EC1BD2" w:rsidRDefault="007215A1" w:rsidP="007215A1">
      <w:pPr>
        <w:spacing w:line="240" w:lineRule="auto"/>
        <w:rPr>
          <w:rFonts w:ascii="Times New Roman" w:hAnsi="Times New Roman" w:cs="Times New Roman"/>
          <w:bCs/>
          <w:sz w:val="24"/>
          <w:szCs w:val="24"/>
        </w:rPr>
      </w:pPr>
      <w:r>
        <w:rPr>
          <w:rFonts w:ascii="Times New Roman" w:hAnsi="Times New Roman" w:cs="Times New Roman"/>
          <w:bCs/>
          <w:sz w:val="24"/>
          <w:szCs w:val="24"/>
        </w:rPr>
        <w:t>In continuance of the issue of coordination of care due to lack of interoperable EMR systems, a</w:t>
      </w:r>
      <w:r w:rsidR="00EC1BD2" w:rsidRPr="006143C1">
        <w:rPr>
          <w:rFonts w:ascii="Times New Roman" w:hAnsi="Times New Roman" w:cs="Times New Roman"/>
          <w:bCs/>
          <w:sz w:val="24"/>
          <w:szCs w:val="24"/>
        </w:rPr>
        <w:t xml:space="preserve"> primary care physician has no way of knowing what medications that a specialized doctor has prescribed. For example, if the gynecologist put a patient on birth control and a few months later the patient becomes sick with strep throat, the physician has no way of knowing that the patient is on birth control and would not know that he/she needs to inform th</w:t>
      </w:r>
      <w:r w:rsidR="00EC1BD2">
        <w:rPr>
          <w:rFonts w:ascii="Times New Roman" w:hAnsi="Times New Roman" w:cs="Times New Roman"/>
          <w:bCs/>
          <w:sz w:val="24"/>
          <w:szCs w:val="24"/>
        </w:rPr>
        <w:t xml:space="preserve">e </w:t>
      </w:r>
      <w:r w:rsidR="00EC1BD2" w:rsidRPr="006143C1">
        <w:rPr>
          <w:rFonts w:ascii="Times New Roman" w:hAnsi="Times New Roman" w:cs="Times New Roman"/>
          <w:bCs/>
          <w:sz w:val="24"/>
          <w:szCs w:val="24"/>
        </w:rPr>
        <w:t xml:space="preserve">patient </w:t>
      </w:r>
      <w:r w:rsidR="00EC1BD2">
        <w:rPr>
          <w:rFonts w:ascii="Times New Roman" w:hAnsi="Times New Roman" w:cs="Times New Roman"/>
          <w:bCs/>
          <w:sz w:val="24"/>
          <w:szCs w:val="24"/>
        </w:rPr>
        <w:t xml:space="preserve">that </w:t>
      </w:r>
      <w:r w:rsidR="00EC1BD2" w:rsidRPr="006143C1">
        <w:rPr>
          <w:rFonts w:ascii="Times New Roman" w:hAnsi="Times New Roman" w:cs="Times New Roman"/>
          <w:bCs/>
          <w:sz w:val="24"/>
          <w:szCs w:val="24"/>
        </w:rPr>
        <w:t>these medications counteract each other. The mixing of certain medications can result in adverse effects, some resulting in death. This lack of information sharing can result in poor quality care provided to patients.</w:t>
      </w:r>
      <w:r w:rsidR="00EC1BD2" w:rsidRPr="006143C1">
        <w:rPr>
          <w:rFonts w:ascii="Times New Roman" w:hAnsi="Times New Roman" w:cs="Times New Roman"/>
          <w:b/>
          <w:sz w:val="24"/>
          <w:szCs w:val="24"/>
        </w:rPr>
        <w:t xml:space="preserve"> </w:t>
      </w:r>
      <w:r w:rsidR="00EC1BD2">
        <w:rPr>
          <w:rFonts w:ascii="Times New Roman" w:hAnsi="Times New Roman" w:cs="Times New Roman"/>
          <w:bCs/>
          <w:sz w:val="24"/>
          <w:szCs w:val="24"/>
        </w:rPr>
        <w:t>While many organizations conformed in order to avoid payment penalties, the lack of universal system standards made software used in one facility noninterpretable to another facility using different, but also accepted, software.</w:t>
      </w:r>
      <w:r w:rsidR="00EC1BD2" w:rsidRPr="006143C1">
        <w:rPr>
          <w:rFonts w:ascii="Times New Roman" w:hAnsi="Times New Roman" w:cs="Times New Roman"/>
          <w:b/>
          <w:sz w:val="24"/>
          <w:szCs w:val="24"/>
        </w:rPr>
        <w:t xml:space="preserve"> </w:t>
      </w:r>
      <w:r w:rsidR="00EC1BD2">
        <w:rPr>
          <w:rFonts w:ascii="Times New Roman" w:hAnsi="Times New Roman" w:cs="Times New Roman"/>
          <w:bCs/>
          <w:sz w:val="24"/>
          <w:szCs w:val="24"/>
        </w:rPr>
        <w:t xml:space="preserve">Although changing record keeping systems can be untimely and financially burdening in the beginning, </w:t>
      </w:r>
      <w:r>
        <w:rPr>
          <w:rFonts w:ascii="Times New Roman" w:hAnsi="Times New Roman" w:cs="Times New Roman"/>
          <w:bCs/>
          <w:sz w:val="24"/>
          <w:szCs w:val="24"/>
        </w:rPr>
        <w:t xml:space="preserve">as previously stated, </w:t>
      </w:r>
      <w:r w:rsidR="00EC1BD2">
        <w:rPr>
          <w:rFonts w:ascii="Times New Roman" w:hAnsi="Times New Roman" w:cs="Times New Roman"/>
          <w:bCs/>
          <w:sz w:val="24"/>
          <w:szCs w:val="24"/>
        </w:rPr>
        <w:t>there is an estimated $27 billion being federally funded to organizations who are making meaningful use out of EMR systems</w:t>
      </w:r>
      <w:r>
        <w:rPr>
          <w:rFonts w:ascii="Times New Roman" w:hAnsi="Times New Roman" w:cs="Times New Roman"/>
          <w:bCs/>
          <w:sz w:val="24"/>
          <w:szCs w:val="24"/>
        </w:rPr>
        <w:t xml:space="preserve"> and they are often times hard to meaningfully use; so that money could be better spent finding systems that actually work for those using them. </w:t>
      </w:r>
    </w:p>
    <w:p w14:paraId="2F34C797" w14:textId="77777777" w:rsidR="005F5D3D" w:rsidRPr="00EC1BD2" w:rsidRDefault="005F5D3D" w:rsidP="007215A1">
      <w:pPr>
        <w:spacing w:line="240" w:lineRule="auto"/>
        <w:rPr>
          <w:rFonts w:ascii="Times New Roman" w:hAnsi="Times New Roman" w:cs="Times New Roman"/>
          <w:bCs/>
          <w:sz w:val="24"/>
          <w:szCs w:val="24"/>
        </w:rPr>
      </w:pPr>
      <w:r w:rsidRPr="006143C1">
        <w:rPr>
          <w:rFonts w:ascii="Times New Roman" w:hAnsi="Times New Roman" w:cs="Times New Roman"/>
          <w:b/>
          <w:iCs/>
          <w:sz w:val="24"/>
          <w:szCs w:val="24"/>
        </w:rPr>
        <w:t xml:space="preserve">In recent studies, it is found that there is a high rate of </w:t>
      </w:r>
      <w:r>
        <w:rPr>
          <w:rFonts w:ascii="Times New Roman" w:hAnsi="Times New Roman" w:cs="Times New Roman"/>
          <w:b/>
          <w:iCs/>
          <w:sz w:val="24"/>
          <w:szCs w:val="24"/>
        </w:rPr>
        <w:t xml:space="preserve">health </w:t>
      </w:r>
      <w:r w:rsidRPr="006143C1">
        <w:rPr>
          <w:rFonts w:ascii="Times New Roman" w:hAnsi="Times New Roman" w:cs="Times New Roman"/>
          <w:b/>
          <w:iCs/>
          <w:sz w:val="24"/>
          <w:szCs w:val="24"/>
        </w:rPr>
        <w:t xml:space="preserve">care providers experiencing burnout or dissatisfaction </w:t>
      </w:r>
      <w:r w:rsidR="00EC1BD2">
        <w:rPr>
          <w:rFonts w:ascii="Times New Roman" w:hAnsi="Times New Roman" w:cs="Times New Roman"/>
          <w:b/>
          <w:iCs/>
          <w:sz w:val="24"/>
          <w:szCs w:val="24"/>
        </w:rPr>
        <w:t>d</w:t>
      </w:r>
      <w:r w:rsidR="007215A1">
        <w:rPr>
          <w:rFonts w:ascii="Times New Roman" w:hAnsi="Times New Roman" w:cs="Times New Roman"/>
          <w:b/>
          <w:iCs/>
          <w:sz w:val="24"/>
          <w:szCs w:val="24"/>
        </w:rPr>
        <w:t>ue</w:t>
      </w:r>
      <w:r w:rsidR="00EC1BD2">
        <w:rPr>
          <w:rFonts w:ascii="Times New Roman" w:hAnsi="Times New Roman" w:cs="Times New Roman"/>
          <w:b/>
          <w:iCs/>
          <w:sz w:val="24"/>
          <w:szCs w:val="24"/>
        </w:rPr>
        <w:t xml:space="preserve"> to rework and waste occurring in their work</w:t>
      </w:r>
      <w:r w:rsidRPr="006143C1">
        <w:rPr>
          <w:rFonts w:ascii="Times New Roman" w:hAnsi="Times New Roman" w:cs="Times New Roman"/>
          <w:b/>
          <w:iCs/>
          <w:sz w:val="24"/>
          <w:szCs w:val="24"/>
        </w:rPr>
        <w:t xml:space="preserve">. To </w:t>
      </w:r>
      <w:r w:rsidR="007215A1">
        <w:rPr>
          <w:rFonts w:ascii="Times New Roman" w:hAnsi="Times New Roman" w:cs="Times New Roman"/>
          <w:b/>
          <w:iCs/>
          <w:sz w:val="24"/>
          <w:szCs w:val="24"/>
        </w:rPr>
        <w:t xml:space="preserve">reduce the amount of waste </w:t>
      </w:r>
      <w:r w:rsidRPr="006143C1">
        <w:rPr>
          <w:rFonts w:ascii="Times New Roman" w:hAnsi="Times New Roman" w:cs="Times New Roman"/>
          <w:b/>
          <w:iCs/>
          <w:sz w:val="24"/>
          <w:szCs w:val="24"/>
        </w:rPr>
        <w:t xml:space="preserve">and better satisfy those providing care, a </w:t>
      </w:r>
      <w:r>
        <w:rPr>
          <w:rFonts w:ascii="Times New Roman" w:hAnsi="Times New Roman" w:cs="Times New Roman"/>
          <w:b/>
          <w:iCs/>
          <w:sz w:val="24"/>
          <w:szCs w:val="24"/>
        </w:rPr>
        <w:t>transferable</w:t>
      </w:r>
      <w:r w:rsidRPr="006143C1">
        <w:rPr>
          <w:rFonts w:ascii="Times New Roman" w:hAnsi="Times New Roman" w:cs="Times New Roman"/>
          <w:b/>
          <w:iCs/>
          <w:sz w:val="24"/>
          <w:szCs w:val="24"/>
        </w:rPr>
        <w:t xml:space="preserve"> EMR system </w:t>
      </w:r>
      <w:r>
        <w:rPr>
          <w:rFonts w:ascii="Times New Roman" w:hAnsi="Times New Roman" w:cs="Times New Roman"/>
          <w:b/>
          <w:iCs/>
          <w:sz w:val="24"/>
          <w:szCs w:val="24"/>
        </w:rPr>
        <w:t xml:space="preserve">that </w:t>
      </w:r>
      <w:r>
        <w:rPr>
          <w:rFonts w:ascii="Times New Roman" w:hAnsi="Times New Roman" w:cs="Times New Roman"/>
          <w:b/>
          <w:iCs/>
          <w:sz w:val="24"/>
          <w:szCs w:val="24"/>
        </w:rPr>
        <w:lastRenderedPageBreak/>
        <w:t>allows providers easier accessibility and recording of patient records is necessary</w:t>
      </w:r>
      <w:r w:rsidRPr="006143C1">
        <w:rPr>
          <w:rFonts w:ascii="Times New Roman" w:hAnsi="Times New Roman" w:cs="Times New Roman"/>
          <w:b/>
          <w:iCs/>
          <w:sz w:val="24"/>
          <w:szCs w:val="24"/>
        </w:rPr>
        <w:t>.</w:t>
      </w:r>
      <w:r>
        <w:rPr>
          <w:rFonts w:ascii="Times New Roman" w:hAnsi="Times New Roman" w:cs="Times New Roman"/>
          <w:b/>
          <w:iCs/>
          <w:sz w:val="24"/>
          <w:szCs w:val="24"/>
        </w:rPr>
        <w:t xml:space="preserve"> </w:t>
      </w:r>
      <w:r w:rsidR="007215A1">
        <w:rPr>
          <w:rFonts w:ascii="Times New Roman" w:hAnsi="Times New Roman" w:cs="Times New Roman"/>
          <w:b/>
          <w:iCs/>
          <w:sz w:val="24"/>
          <w:szCs w:val="24"/>
        </w:rPr>
        <w:t xml:space="preserve">As previously stated, revising the HITECH Act by utilizing money that was previously used for payment incentives to find/create interoperable EMR systems would be a better use of funding. </w:t>
      </w:r>
      <w:r w:rsidR="00EC1BD2">
        <w:rPr>
          <w:rFonts w:ascii="Times New Roman" w:hAnsi="Times New Roman" w:cs="Times New Roman"/>
          <w:bCs/>
          <w:iCs/>
          <w:sz w:val="24"/>
          <w:szCs w:val="24"/>
        </w:rPr>
        <w:t>Do to the previous incentives under this act, the US health</w:t>
      </w:r>
      <w:r w:rsidR="007215A1">
        <w:rPr>
          <w:rFonts w:ascii="Times New Roman" w:hAnsi="Times New Roman" w:cs="Times New Roman"/>
          <w:bCs/>
          <w:iCs/>
          <w:sz w:val="24"/>
          <w:szCs w:val="24"/>
        </w:rPr>
        <w:t xml:space="preserve"> </w:t>
      </w:r>
      <w:r w:rsidR="00EC1BD2">
        <w:rPr>
          <w:rFonts w:ascii="Times New Roman" w:hAnsi="Times New Roman" w:cs="Times New Roman"/>
          <w:bCs/>
          <w:iCs/>
          <w:sz w:val="24"/>
          <w:szCs w:val="24"/>
        </w:rPr>
        <w:t>care system must retrofit interoperability, rather than making it a core value in our health</w:t>
      </w:r>
      <w:r w:rsidR="007215A1">
        <w:rPr>
          <w:rFonts w:ascii="Times New Roman" w:hAnsi="Times New Roman" w:cs="Times New Roman"/>
          <w:bCs/>
          <w:iCs/>
          <w:sz w:val="24"/>
          <w:szCs w:val="24"/>
        </w:rPr>
        <w:t xml:space="preserve"> </w:t>
      </w:r>
      <w:r w:rsidR="00EC1BD2">
        <w:rPr>
          <w:rFonts w:ascii="Times New Roman" w:hAnsi="Times New Roman" w:cs="Times New Roman"/>
          <w:bCs/>
          <w:iCs/>
          <w:sz w:val="24"/>
          <w:szCs w:val="24"/>
        </w:rPr>
        <w:t xml:space="preserve">care IT system (Adlet-Milstein, 2017). Payment incentives under this act should </w:t>
      </w:r>
      <w:r w:rsidR="007215A1">
        <w:rPr>
          <w:rFonts w:ascii="Times New Roman" w:hAnsi="Times New Roman" w:cs="Times New Roman"/>
          <w:bCs/>
          <w:iCs/>
          <w:sz w:val="24"/>
          <w:szCs w:val="24"/>
        </w:rPr>
        <w:t>be substantially reduced during the time spent finding transferable EMR systems. As mentioned earlier, using $10 million of the $27 million being used for incentive purposes should be utilized in finding such systems; and a</w:t>
      </w:r>
      <w:r w:rsidR="00EC1BD2">
        <w:rPr>
          <w:rFonts w:ascii="Times New Roman" w:hAnsi="Times New Roman" w:cs="Times New Roman"/>
          <w:bCs/>
          <w:iCs/>
          <w:sz w:val="24"/>
          <w:szCs w:val="24"/>
        </w:rPr>
        <w:t xml:space="preserve">lthough this will </w:t>
      </w:r>
      <w:r w:rsidR="007215A1">
        <w:rPr>
          <w:rFonts w:ascii="Times New Roman" w:hAnsi="Times New Roman" w:cs="Times New Roman"/>
          <w:bCs/>
          <w:iCs/>
          <w:sz w:val="24"/>
          <w:szCs w:val="24"/>
        </w:rPr>
        <w:t>significantly reduce the amount of reimbursement</w:t>
      </w:r>
      <w:r w:rsidR="00EC1BD2">
        <w:rPr>
          <w:rFonts w:ascii="Times New Roman" w:hAnsi="Times New Roman" w:cs="Times New Roman"/>
          <w:bCs/>
          <w:iCs/>
          <w:sz w:val="24"/>
          <w:szCs w:val="24"/>
        </w:rPr>
        <w:t xml:space="preserve"> </w:t>
      </w:r>
      <w:r w:rsidR="007215A1">
        <w:rPr>
          <w:rFonts w:ascii="Times New Roman" w:hAnsi="Times New Roman" w:cs="Times New Roman"/>
          <w:bCs/>
          <w:iCs/>
          <w:sz w:val="24"/>
          <w:szCs w:val="24"/>
        </w:rPr>
        <w:t>for</w:t>
      </w:r>
      <w:r w:rsidR="00EC1BD2">
        <w:rPr>
          <w:rFonts w:ascii="Times New Roman" w:hAnsi="Times New Roman" w:cs="Times New Roman"/>
          <w:bCs/>
          <w:iCs/>
          <w:sz w:val="24"/>
          <w:szCs w:val="24"/>
        </w:rPr>
        <w:t xml:space="preserve"> health</w:t>
      </w:r>
      <w:r w:rsidR="007215A1">
        <w:rPr>
          <w:rFonts w:ascii="Times New Roman" w:hAnsi="Times New Roman" w:cs="Times New Roman"/>
          <w:bCs/>
          <w:iCs/>
          <w:sz w:val="24"/>
          <w:szCs w:val="24"/>
        </w:rPr>
        <w:t xml:space="preserve"> </w:t>
      </w:r>
      <w:r w:rsidR="00EC1BD2">
        <w:rPr>
          <w:rFonts w:ascii="Times New Roman" w:hAnsi="Times New Roman" w:cs="Times New Roman"/>
          <w:bCs/>
          <w:iCs/>
          <w:sz w:val="24"/>
          <w:szCs w:val="24"/>
        </w:rPr>
        <w:t xml:space="preserve">care professionals </w:t>
      </w:r>
      <w:r w:rsidR="007215A1">
        <w:rPr>
          <w:rFonts w:ascii="Times New Roman" w:hAnsi="Times New Roman" w:cs="Times New Roman"/>
          <w:bCs/>
          <w:iCs/>
          <w:sz w:val="24"/>
          <w:szCs w:val="24"/>
        </w:rPr>
        <w:t xml:space="preserve">temporarily, </w:t>
      </w:r>
      <w:r w:rsidR="00EC1BD2">
        <w:rPr>
          <w:rFonts w:ascii="Times New Roman" w:hAnsi="Times New Roman" w:cs="Times New Roman"/>
          <w:bCs/>
          <w:iCs/>
          <w:sz w:val="24"/>
          <w:szCs w:val="24"/>
        </w:rPr>
        <w:t>after a transferable EMR system is found</w:t>
      </w:r>
      <w:r w:rsidR="007215A1">
        <w:rPr>
          <w:rFonts w:ascii="Times New Roman" w:hAnsi="Times New Roman" w:cs="Times New Roman"/>
          <w:bCs/>
          <w:iCs/>
          <w:sz w:val="24"/>
          <w:szCs w:val="24"/>
        </w:rPr>
        <w:t>,</w:t>
      </w:r>
      <w:r w:rsidR="00EC1BD2">
        <w:rPr>
          <w:rFonts w:ascii="Times New Roman" w:hAnsi="Times New Roman" w:cs="Times New Roman"/>
          <w:bCs/>
          <w:iCs/>
          <w:sz w:val="24"/>
          <w:szCs w:val="24"/>
        </w:rPr>
        <w:t xml:space="preserve"> incentives can be</w:t>
      </w:r>
      <w:r w:rsidR="007215A1">
        <w:rPr>
          <w:rFonts w:ascii="Times New Roman" w:hAnsi="Times New Roman" w:cs="Times New Roman"/>
          <w:bCs/>
          <w:iCs/>
          <w:sz w:val="24"/>
          <w:szCs w:val="24"/>
        </w:rPr>
        <w:t xml:space="preserve"> reconsidered and put</w:t>
      </w:r>
      <w:r w:rsidR="00EC1BD2">
        <w:rPr>
          <w:rFonts w:ascii="Times New Roman" w:hAnsi="Times New Roman" w:cs="Times New Roman"/>
          <w:bCs/>
          <w:iCs/>
          <w:sz w:val="24"/>
          <w:szCs w:val="24"/>
        </w:rPr>
        <w:t xml:space="preserve"> back in place to ensure health</w:t>
      </w:r>
      <w:r w:rsidR="007215A1">
        <w:rPr>
          <w:rFonts w:ascii="Times New Roman" w:hAnsi="Times New Roman" w:cs="Times New Roman"/>
          <w:bCs/>
          <w:iCs/>
          <w:sz w:val="24"/>
          <w:szCs w:val="24"/>
        </w:rPr>
        <w:t xml:space="preserve"> </w:t>
      </w:r>
      <w:r w:rsidR="00EC1BD2">
        <w:rPr>
          <w:rFonts w:ascii="Times New Roman" w:hAnsi="Times New Roman" w:cs="Times New Roman"/>
          <w:bCs/>
          <w:iCs/>
          <w:sz w:val="24"/>
          <w:szCs w:val="24"/>
        </w:rPr>
        <w:t xml:space="preserve">care facilities are utilizing </w:t>
      </w:r>
      <w:r w:rsidR="007215A1">
        <w:rPr>
          <w:rFonts w:ascii="Times New Roman" w:hAnsi="Times New Roman" w:cs="Times New Roman"/>
          <w:bCs/>
          <w:iCs/>
          <w:sz w:val="24"/>
          <w:szCs w:val="24"/>
        </w:rPr>
        <w:t>the new found systems</w:t>
      </w:r>
      <w:r w:rsidR="00EC1BD2">
        <w:rPr>
          <w:rFonts w:ascii="Times New Roman" w:hAnsi="Times New Roman" w:cs="Times New Roman"/>
          <w:bCs/>
          <w:iCs/>
          <w:sz w:val="24"/>
          <w:szCs w:val="24"/>
        </w:rPr>
        <w:t xml:space="preserve">. With a transferable EMR system, physicians can better care for their patients with less rework and waste being produced in the process. </w:t>
      </w:r>
    </w:p>
    <w:p w14:paraId="16D9B164" w14:textId="77777777" w:rsidR="0024702E" w:rsidRDefault="0024702E" w:rsidP="007215A1">
      <w:pPr>
        <w:spacing w:line="240" w:lineRule="auto"/>
        <w:rPr>
          <w:rFonts w:ascii="Times New Roman" w:hAnsi="Times New Roman" w:cs="Times New Roman"/>
          <w:b/>
          <w:iCs/>
          <w:sz w:val="24"/>
          <w:szCs w:val="24"/>
        </w:rPr>
      </w:pPr>
      <w:r>
        <w:rPr>
          <w:rFonts w:ascii="Times New Roman" w:hAnsi="Times New Roman" w:cs="Times New Roman"/>
          <w:bCs/>
          <w:iCs/>
          <w:sz w:val="24"/>
          <w:szCs w:val="24"/>
        </w:rPr>
        <w:t>C</w:t>
      </w:r>
      <w:r w:rsidR="006143C1" w:rsidRPr="006143C1">
        <w:rPr>
          <w:rFonts w:ascii="Times New Roman" w:hAnsi="Times New Roman" w:cs="Times New Roman"/>
          <w:bCs/>
          <w:iCs/>
          <w:sz w:val="24"/>
          <w:szCs w:val="24"/>
        </w:rPr>
        <w:t>are providers are often burdened with rework because of patient documentation error or inability to access patient records. A primary care physician could have all the reported information that occurred in their facility on the patient at hand, but because the patient h</w:t>
      </w:r>
      <w:r w:rsidR="005F5D3D">
        <w:rPr>
          <w:rFonts w:ascii="Times New Roman" w:hAnsi="Times New Roman" w:cs="Times New Roman"/>
          <w:bCs/>
          <w:iCs/>
          <w:sz w:val="24"/>
          <w:szCs w:val="24"/>
        </w:rPr>
        <w:t>a</w:t>
      </w:r>
      <w:r w:rsidR="006143C1" w:rsidRPr="006143C1">
        <w:rPr>
          <w:rFonts w:ascii="Times New Roman" w:hAnsi="Times New Roman" w:cs="Times New Roman"/>
          <w:bCs/>
          <w:iCs/>
          <w:sz w:val="24"/>
          <w:szCs w:val="24"/>
        </w:rPr>
        <w:t xml:space="preserve">s other specialized care providers (gynecologist, gastrologist, cardiologist, etc.) he/she is still missing vital information about the patient. Being that the primary care physician is using all that he/she has, he/she </w:t>
      </w:r>
      <w:r>
        <w:rPr>
          <w:rFonts w:ascii="Times New Roman" w:hAnsi="Times New Roman" w:cs="Times New Roman"/>
          <w:bCs/>
          <w:iCs/>
          <w:sz w:val="24"/>
          <w:szCs w:val="24"/>
        </w:rPr>
        <w:t xml:space="preserve">and employees working with him/her </w:t>
      </w:r>
      <w:r w:rsidR="006143C1" w:rsidRPr="006143C1">
        <w:rPr>
          <w:rFonts w:ascii="Times New Roman" w:hAnsi="Times New Roman" w:cs="Times New Roman"/>
          <w:bCs/>
          <w:iCs/>
          <w:sz w:val="24"/>
          <w:szCs w:val="24"/>
        </w:rPr>
        <w:t xml:space="preserve">could become dissatisfied with the inability to properly treat the patients. By </w:t>
      </w:r>
      <w:r w:rsidR="00EC1BD2">
        <w:rPr>
          <w:rFonts w:ascii="Times New Roman" w:hAnsi="Times New Roman" w:cs="Times New Roman"/>
          <w:bCs/>
          <w:iCs/>
          <w:sz w:val="24"/>
          <w:szCs w:val="24"/>
        </w:rPr>
        <w:t>finding</w:t>
      </w:r>
      <w:r w:rsidR="006143C1" w:rsidRPr="006143C1">
        <w:rPr>
          <w:rFonts w:ascii="Times New Roman" w:hAnsi="Times New Roman" w:cs="Times New Roman"/>
          <w:bCs/>
          <w:iCs/>
          <w:sz w:val="24"/>
          <w:szCs w:val="24"/>
        </w:rPr>
        <w:t xml:space="preserve"> </w:t>
      </w:r>
      <w:r w:rsidR="007215A1">
        <w:rPr>
          <w:rFonts w:ascii="Times New Roman" w:hAnsi="Times New Roman" w:cs="Times New Roman"/>
          <w:bCs/>
          <w:iCs/>
          <w:sz w:val="24"/>
          <w:szCs w:val="24"/>
        </w:rPr>
        <w:t>compatible/</w:t>
      </w:r>
      <w:r w:rsidR="00EC1BD2">
        <w:rPr>
          <w:rFonts w:ascii="Times New Roman" w:hAnsi="Times New Roman" w:cs="Times New Roman"/>
          <w:bCs/>
          <w:iCs/>
          <w:sz w:val="24"/>
          <w:szCs w:val="24"/>
        </w:rPr>
        <w:t>transferable systems</w:t>
      </w:r>
      <w:r w:rsidR="006143C1" w:rsidRPr="006143C1">
        <w:rPr>
          <w:rFonts w:ascii="Times New Roman" w:hAnsi="Times New Roman" w:cs="Times New Roman"/>
          <w:bCs/>
          <w:iCs/>
          <w:sz w:val="24"/>
          <w:szCs w:val="24"/>
        </w:rPr>
        <w:t xml:space="preserve">, all of a patients care providers </w:t>
      </w:r>
      <w:r w:rsidR="00EC1BD2">
        <w:rPr>
          <w:rFonts w:ascii="Times New Roman" w:hAnsi="Times New Roman" w:cs="Times New Roman"/>
          <w:bCs/>
          <w:iCs/>
          <w:sz w:val="24"/>
          <w:szCs w:val="24"/>
        </w:rPr>
        <w:t xml:space="preserve">can </w:t>
      </w:r>
      <w:r w:rsidR="006143C1" w:rsidRPr="006143C1">
        <w:rPr>
          <w:rFonts w:ascii="Times New Roman" w:hAnsi="Times New Roman" w:cs="Times New Roman"/>
          <w:bCs/>
          <w:iCs/>
          <w:sz w:val="24"/>
          <w:szCs w:val="24"/>
        </w:rPr>
        <w:t xml:space="preserve">have access to the needed </w:t>
      </w:r>
      <w:r w:rsidR="00EC1BD2">
        <w:rPr>
          <w:rFonts w:ascii="Times New Roman" w:hAnsi="Times New Roman" w:cs="Times New Roman"/>
          <w:bCs/>
          <w:iCs/>
          <w:sz w:val="24"/>
          <w:szCs w:val="24"/>
        </w:rPr>
        <w:t xml:space="preserve">patient </w:t>
      </w:r>
      <w:r w:rsidR="006143C1" w:rsidRPr="006143C1">
        <w:rPr>
          <w:rFonts w:ascii="Times New Roman" w:hAnsi="Times New Roman" w:cs="Times New Roman"/>
          <w:bCs/>
          <w:iCs/>
          <w:sz w:val="24"/>
          <w:szCs w:val="24"/>
        </w:rPr>
        <w:t>information. This wou</w:t>
      </w:r>
      <w:r w:rsidR="007215A1">
        <w:rPr>
          <w:rFonts w:ascii="Times New Roman" w:hAnsi="Times New Roman" w:cs="Times New Roman"/>
          <w:bCs/>
          <w:iCs/>
          <w:sz w:val="24"/>
          <w:szCs w:val="24"/>
        </w:rPr>
        <w:t>ld, in turn,</w:t>
      </w:r>
      <w:r w:rsidR="006143C1" w:rsidRPr="006143C1">
        <w:rPr>
          <w:rFonts w:ascii="Times New Roman" w:hAnsi="Times New Roman" w:cs="Times New Roman"/>
          <w:bCs/>
          <w:iCs/>
          <w:sz w:val="24"/>
          <w:szCs w:val="24"/>
        </w:rPr>
        <w:t xml:space="preserve"> reduce the errors occurring </w:t>
      </w:r>
      <w:r w:rsidR="007215A1">
        <w:rPr>
          <w:rFonts w:ascii="Times New Roman" w:hAnsi="Times New Roman" w:cs="Times New Roman"/>
          <w:bCs/>
          <w:iCs/>
          <w:sz w:val="24"/>
          <w:szCs w:val="24"/>
        </w:rPr>
        <w:t xml:space="preserve">in the distribution of care </w:t>
      </w:r>
      <w:r w:rsidR="006143C1" w:rsidRPr="006143C1">
        <w:rPr>
          <w:rFonts w:ascii="Times New Roman" w:hAnsi="Times New Roman" w:cs="Times New Roman"/>
          <w:bCs/>
          <w:iCs/>
          <w:sz w:val="24"/>
          <w:szCs w:val="24"/>
        </w:rPr>
        <w:t>that are d</w:t>
      </w:r>
      <w:r>
        <w:rPr>
          <w:rFonts w:ascii="Times New Roman" w:hAnsi="Times New Roman" w:cs="Times New Roman"/>
          <w:bCs/>
          <w:iCs/>
          <w:sz w:val="24"/>
          <w:szCs w:val="24"/>
        </w:rPr>
        <w:t>ue</w:t>
      </w:r>
      <w:r w:rsidR="006143C1" w:rsidRPr="006143C1">
        <w:rPr>
          <w:rFonts w:ascii="Times New Roman" w:hAnsi="Times New Roman" w:cs="Times New Roman"/>
          <w:bCs/>
          <w:iCs/>
          <w:sz w:val="24"/>
          <w:szCs w:val="24"/>
        </w:rPr>
        <w:t xml:space="preserve"> to lack of </w:t>
      </w:r>
      <w:r w:rsidR="007215A1">
        <w:rPr>
          <w:rFonts w:ascii="Times New Roman" w:hAnsi="Times New Roman" w:cs="Times New Roman"/>
          <w:bCs/>
          <w:iCs/>
          <w:sz w:val="24"/>
          <w:szCs w:val="24"/>
        </w:rPr>
        <w:t xml:space="preserve">attainable </w:t>
      </w:r>
      <w:r w:rsidR="006143C1" w:rsidRPr="006143C1">
        <w:rPr>
          <w:rFonts w:ascii="Times New Roman" w:hAnsi="Times New Roman" w:cs="Times New Roman"/>
          <w:bCs/>
          <w:iCs/>
          <w:sz w:val="24"/>
          <w:szCs w:val="24"/>
        </w:rPr>
        <w:t>information and lower the amount of rework being done by care givers</w:t>
      </w:r>
      <w:r w:rsidR="007215A1">
        <w:rPr>
          <w:rFonts w:ascii="Times New Roman" w:hAnsi="Times New Roman" w:cs="Times New Roman"/>
          <w:bCs/>
          <w:iCs/>
          <w:sz w:val="24"/>
          <w:szCs w:val="24"/>
        </w:rPr>
        <w:t xml:space="preserve"> in the documentation process</w:t>
      </w:r>
      <w:r w:rsidR="006143C1" w:rsidRPr="006143C1">
        <w:rPr>
          <w:rFonts w:ascii="Times New Roman" w:hAnsi="Times New Roman" w:cs="Times New Roman"/>
          <w:bCs/>
          <w:iCs/>
          <w:sz w:val="24"/>
          <w:szCs w:val="24"/>
        </w:rPr>
        <w:t xml:space="preserve">. </w:t>
      </w:r>
      <w:r>
        <w:rPr>
          <w:rFonts w:ascii="Times New Roman" w:hAnsi="Times New Roman" w:cs="Times New Roman"/>
          <w:bCs/>
          <w:iCs/>
          <w:sz w:val="24"/>
          <w:szCs w:val="24"/>
        </w:rPr>
        <w:t xml:space="preserve">Although pricing for the </w:t>
      </w:r>
      <w:r w:rsidR="007215A1">
        <w:rPr>
          <w:rFonts w:ascii="Times New Roman" w:hAnsi="Times New Roman" w:cs="Times New Roman"/>
          <w:bCs/>
          <w:iCs/>
          <w:sz w:val="24"/>
          <w:szCs w:val="24"/>
        </w:rPr>
        <w:t xml:space="preserve">finding/creation of interoperable EMR systems seems high, suggested to be $10 million, using the funding from payment incentives will essentially not cost the health care system any more money; just utilize it in a different, more beneficial way. </w:t>
      </w:r>
    </w:p>
    <w:p w14:paraId="38771262" w14:textId="77777777" w:rsidR="006143C1" w:rsidRPr="003139DA" w:rsidRDefault="006143C1" w:rsidP="007215A1">
      <w:pPr>
        <w:spacing w:line="240" w:lineRule="auto"/>
        <w:rPr>
          <w:rFonts w:ascii="Times New Roman" w:hAnsi="Times New Roman" w:cs="Times New Roman"/>
          <w:b/>
          <w:iCs/>
          <w:sz w:val="24"/>
          <w:szCs w:val="24"/>
          <w:u w:val="single"/>
        </w:rPr>
      </w:pPr>
      <w:r w:rsidRPr="003139DA">
        <w:rPr>
          <w:rFonts w:ascii="Times New Roman" w:hAnsi="Times New Roman" w:cs="Times New Roman"/>
          <w:b/>
          <w:iCs/>
          <w:sz w:val="24"/>
          <w:szCs w:val="24"/>
          <w:u w:val="single"/>
        </w:rPr>
        <w:t xml:space="preserve">Interest Groups </w:t>
      </w:r>
    </w:p>
    <w:p w14:paraId="4B091743" w14:textId="77777777" w:rsidR="00EC1BD2" w:rsidRDefault="00EC1BD2" w:rsidP="007215A1">
      <w:pPr>
        <w:spacing w:line="240" w:lineRule="auto"/>
        <w:rPr>
          <w:rFonts w:ascii="Times New Roman" w:hAnsi="Times New Roman" w:cs="Times New Roman"/>
          <w:bCs/>
          <w:iCs/>
          <w:sz w:val="24"/>
          <w:szCs w:val="24"/>
        </w:rPr>
      </w:pPr>
      <w:r>
        <w:rPr>
          <w:rFonts w:ascii="Times New Roman" w:hAnsi="Times New Roman" w:cs="Times New Roman"/>
          <w:bCs/>
          <w:iCs/>
          <w:sz w:val="24"/>
          <w:szCs w:val="24"/>
        </w:rPr>
        <w:t>The United States health</w:t>
      </w:r>
      <w:r w:rsidR="007215A1">
        <w:rPr>
          <w:rFonts w:ascii="Times New Roman" w:hAnsi="Times New Roman" w:cs="Times New Roman"/>
          <w:bCs/>
          <w:iCs/>
          <w:sz w:val="24"/>
          <w:szCs w:val="24"/>
        </w:rPr>
        <w:t xml:space="preserve"> </w:t>
      </w:r>
      <w:r>
        <w:rPr>
          <w:rFonts w:ascii="Times New Roman" w:hAnsi="Times New Roman" w:cs="Times New Roman"/>
          <w:bCs/>
          <w:iCs/>
          <w:sz w:val="24"/>
          <w:szCs w:val="24"/>
        </w:rPr>
        <w:t>care system lacks interoperable EMR systems that challenge the quality of care provided to patients</w:t>
      </w:r>
      <w:r w:rsidR="007215A1">
        <w:rPr>
          <w:rFonts w:ascii="Times New Roman" w:hAnsi="Times New Roman" w:cs="Times New Roman"/>
          <w:bCs/>
          <w:iCs/>
          <w:sz w:val="24"/>
          <w:szCs w:val="24"/>
        </w:rPr>
        <w:t xml:space="preserve"> because of the lack of coordinated care and also contributes to the amount of rework, waste, and burnout in the health care industry</w:t>
      </w:r>
      <w:r>
        <w:rPr>
          <w:rFonts w:ascii="Times New Roman" w:hAnsi="Times New Roman" w:cs="Times New Roman"/>
          <w:bCs/>
          <w:iCs/>
          <w:sz w:val="24"/>
          <w:szCs w:val="24"/>
        </w:rPr>
        <w:t>. Although revising the HITECH Act in the previously stated ways would help interoperability of the EMR systems in use and ultimately help improve the ability to provide quality care to patients, it goes against the traditional US commitment to market-based approaches (Adlet-Milstein, 2017). With that being said, competitive health</w:t>
      </w:r>
      <w:r w:rsidR="007215A1">
        <w:rPr>
          <w:rFonts w:ascii="Times New Roman" w:hAnsi="Times New Roman" w:cs="Times New Roman"/>
          <w:bCs/>
          <w:iCs/>
          <w:sz w:val="24"/>
          <w:szCs w:val="24"/>
        </w:rPr>
        <w:t xml:space="preserve"> </w:t>
      </w:r>
      <w:r>
        <w:rPr>
          <w:rFonts w:ascii="Times New Roman" w:hAnsi="Times New Roman" w:cs="Times New Roman"/>
          <w:bCs/>
          <w:iCs/>
          <w:sz w:val="24"/>
          <w:szCs w:val="24"/>
        </w:rPr>
        <w:t>care facilities, such as hospitals, private practicing physicians, and other competing entities would be highly against the interoperability of EMR systems. By making records transferable, these competing facilities would be allowing their patients to seek care elsewhere, in turn, losing that provider</w:t>
      </w:r>
      <w:r w:rsidR="00391305">
        <w:rPr>
          <w:rFonts w:ascii="Times New Roman" w:hAnsi="Times New Roman" w:cs="Times New Roman"/>
          <w:bCs/>
          <w:iCs/>
          <w:sz w:val="24"/>
          <w:szCs w:val="24"/>
        </w:rPr>
        <w:t xml:space="preserve"> and/or organization</w:t>
      </w:r>
      <w:r>
        <w:rPr>
          <w:rFonts w:ascii="Times New Roman" w:hAnsi="Times New Roman" w:cs="Times New Roman"/>
          <w:bCs/>
          <w:iCs/>
          <w:sz w:val="24"/>
          <w:szCs w:val="24"/>
        </w:rPr>
        <w:t xml:space="preserve"> money. Specifically, the </w:t>
      </w:r>
      <w:r w:rsidRPr="00EC1BD2">
        <w:rPr>
          <w:rFonts w:ascii="Times New Roman" w:hAnsi="Times New Roman" w:cs="Times New Roman"/>
          <w:b/>
          <w:iCs/>
          <w:sz w:val="24"/>
          <w:szCs w:val="24"/>
        </w:rPr>
        <w:t>Hospital Cooperation of America (HCA)</w:t>
      </w:r>
      <w:r>
        <w:rPr>
          <w:rFonts w:ascii="Times New Roman" w:hAnsi="Times New Roman" w:cs="Times New Roman"/>
          <w:bCs/>
          <w:iCs/>
          <w:sz w:val="24"/>
          <w:szCs w:val="24"/>
        </w:rPr>
        <w:t xml:space="preserve"> facilities would be against this interoperability transformation because they have facilities such as hospitals, urgent cares, and primary care physicians that could seemingly handle all of the care needed by the patient. </w:t>
      </w:r>
      <w:r w:rsidR="007215A1">
        <w:rPr>
          <w:rFonts w:ascii="Times New Roman" w:hAnsi="Times New Roman" w:cs="Times New Roman"/>
          <w:bCs/>
          <w:iCs/>
          <w:sz w:val="24"/>
          <w:szCs w:val="24"/>
        </w:rPr>
        <w:t xml:space="preserve">HCA was one of the first hospital management companies in the United States, and now is one of the leading providers of health care services in the nation (Our History, 2019). This for-profit organization makes its monetary benefits through extreme competition with other providers located in their area and compliance with nationally set policies and standards; so as noted earlier, allowing their patient records to be </w:t>
      </w:r>
      <w:r w:rsidR="007215A1">
        <w:rPr>
          <w:rFonts w:ascii="Times New Roman" w:hAnsi="Times New Roman" w:cs="Times New Roman"/>
          <w:bCs/>
          <w:iCs/>
          <w:sz w:val="24"/>
          <w:szCs w:val="24"/>
        </w:rPr>
        <w:lastRenderedPageBreak/>
        <w:t xml:space="preserve">easily transferred to a competitor will be seen as a market disadvantage and will likely be fought by this organization. </w:t>
      </w:r>
    </w:p>
    <w:p w14:paraId="36CE4121" w14:textId="77777777" w:rsidR="007215A1" w:rsidRDefault="00EC1BD2" w:rsidP="007215A1">
      <w:pPr>
        <w:spacing w:line="240" w:lineRule="auto"/>
        <w:rPr>
          <w:rFonts w:ascii="Times New Roman" w:hAnsi="Times New Roman" w:cs="Times New Roman"/>
          <w:bCs/>
          <w:iCs/>
          <w:sz w:val="24"/>
          <w:szCs w:val="24"/>
        </w:rPr>
      </w:pPr>
      <w:r>
        <w:rPr>
          <w:rFonts w:ascii="Times New Roman" w:hAnsi="Times New Roman" w:cs="Times New Roman"/>
          <w:bCs/>
          <w:iCs/>
          <w:sz w:val="24"/>
          <w:szCs w:val="24"/>
        </w:rPr>
        <w:t>Despite the resistance from the big market competitors in health</w:t>
      </w:r>
      <w:r w:rsidR="007215A1">
        <w:rPr>
          <w:rFonts w:ascii="Times New Roman" w:hAnsi="Times New Roman" w:cs="Times New Roman"/>
          <w:bCs/>
          <w:iCs/>
          <w:sz w:val="24"/>
          <w:szCs w:val="24"/>
        </w:rPr>
        <w:t xml:space="preserve"> </w:t>
      </w:r>
      <w:r>
        <w:rPr>
          <w:rFonts w:ascii="Times New Roman" w:hAnsi="Times New Roman" w:cs="Times New Roman"/>
          <w:bCs/>
          <w:iCs/>
          <w:sz w:val="24"/>
          <w:szCs w:val="24"/>
        </w:rPr>
        <w:t xml:space="preserve">care, </w:t>
      </w:r>
      <w:r w:rsidR="007215A1">
        <w:rPr>
          <w:rFonts w:ascii="Times New Roman" w:hAnsi="Times New Roman" w:cs="Times New Roman"/>
          <w:b/>
          <w:iCs/>
          <w:sz w:val="24"/>
          <w:szCs w:val="24"/>
        </w:rPr>
        <w:t>American Medical Association (AMA)</w:t>
      </w:r>
      <w:r>
        <w:rPr>
          <w:rFonts w:ascii="Times New Roman" w:hAnsi="Times New Roman" w:cs="Times New Roman"/>
          <w:bCs/>
          <w:iCs/>
          <w:sz w:val="24"/>
          <w:szCs w:val="24"/>
        </w:rPr>
        <w:t xml:space="preserve"> is an interest group that is highly recognized and highly for the interoperability of EMR systems in the health</w:t>
      </w:r>
      <w:r w:rsidR="007215A1">
        <w:rPr>
          <w:rFonts w:ascii="Times New Roman" w:hAnsi="Times New Roman" w:cs="Times New Roman"/>
          <w:bCs/>
          <w:iCs/>
          <w:sz w:val="24"/>
          <w:szCs w:val="24"/>
        </w:rPr>
        <w:t xml:space="preserve"> </w:t>
      </w:r>
      <w:r>
        <w:rPr>
          <w:rFonts w:ascii="Times New Roman" w:hAnsi="Times New Roman" w:cs="Times New Roman"/>
          <w:bCs/>
          <w:iCs/>
          <w:sz w:val="24"/>
          <w:szCs w:val="24"/>
        </w:rPr>
        <w:t xml:space="preserve">care system. </w:t>
      </w:r>
      <w:r w:rsidR="007215A1">
        <w:rPr>
          <w:rFonts w:ascii="Times New Roman" w:hAnsi="Times New Roman" w:cs="Times New Roman"/>
          <w:bCs/>
          <w:iCs/>
          <w:sz w:val="24"/>
          <w:szCs w:val="24"/>
        </w:rPr>
        <w:t xml:space="preserve">The AMA is the physicians powerful ally in patient care; the AMA represents physicians with a unified voice to all key players in health care, so having their support is going to be pivotal in making the needed changes to currently used policies regarding EMR systems in the US health care system. After the passing of the HITECH Act that caused EMRs mass implementation, it was determined that the currently used systems lacked usability, resulting in them being extremely hard to use when comparing them to other technologies (Harris, 2019). This lack of usability made the coordination of care nearly impossible for health care providers and also added mounds of rework and waste to their daily tasks. Considering that the technology advancement acts were put in place to improve communication and coordination of care among health care providers, this lack of uniformity is unacceptable and has actually worsened the ability to provide quality care to patients. While single physicians are likely opposed to anymore tampering with their record keeping system, the AMA adamantly supports the needed revisions to ensure that the new generation of EMR systems are designed to prioritize time with patients and making technology as asset not a burden (Harris, 2019). In figure two, the rate of interoperability/usability is compared the average burnout rate of differently specialized care providers that are a part of the AMA (Melnick et al, 2019). AMA research has shown that the high volume of data entry tasks associated with EMRs are among the major factors that drive physician dissatisfaction, attrition, and depression; not to mention the high burn out rates (Melnick et al., 2019). Having the AMAs support on making this change is essential, considering the physicians they represent are the individuals utilizing the systems. </w:t>
      </w:r>
    </w:p>
    <w:p w14:paraId="21A55606" w14:textId="77777777" w:rsidR="00A4307E" w:rsidRDefault="00A4307E" w:rsidP="007215A1">
      <w:pPr>
        <w:spacing w:line="240" w:lineRule="auto"/>
        <w:rPr>
          <w:rFonts w:ascii="Times New Roman" w:hAnsi="Times New Roman" w:cs="Times New Roman"/>
          <w:bCs/>
          <w:iCs/>
          <w:sz w:val="24"/>
          <w:szCs w:val="24"/>
        </w:rPr>
      </w:pPr>
      <w:r>
        <w:rPr>
          <w:noProof/>
        </w:rPr>
        <mc:AlternateContent>
          <mc:Choice Requires="wps">
            <w:drawing>
              <wp:anchor distT="0" distB="0" distL="114300" distR="114300" simplePos="0" relativeHeight="251663360" behindDoc="1" locked="0" layoutInCell="1" allowOverlap="1" wp14:anchorId="1A8DE84B" wp14:editId="51153726">
                <wp:simplePos x="0" y="0"/>
                <wp:positionH relativeFrom="column">
                  <wp:posOffset>800100</wp:posOffset>
                </wp:positionH>
                <wp:positionV relativeFrom="paragraph">
                  <wp:posOffset>109855</wp:posOffset>
                </wp:positionV>
                <wp:extent cx="444500" cy="139700"/>
                <wp:effectExtent l="0" t="0" r="0" b="0"/>
                <wp:wrapTight wrapText="bothSides">
                  <wp:wrapPolygon edited="0">
                    <wp:start x="0" y="0"/>
                    <wp:lineTo x="0" y="19636"/>
                    <wp:lineTo x="20983" y="19636"/>
                    <wp:lineTo x="20983" y="0"/>
                    <wp:lineTo x="0" y="0"/>
                  </wp:wrapPolygon>
                </wp:wrapTight>
                <wp:docPr id="1" name="Text Box 1"/>
                <wp:cNvGraphicFramePr/>
                <a:graphic xmlns:a="http://schemas.openxmlformats.org/drawingml/2006/main">
                  <a:graphicData uri="http://schemas.microsoft.com/office/word/2010/wordprocessingShape">
                    <wps:wsp>
                      <wps:cNvSpPr txBox="1"/>
                      <wps:spPr>
                        <a:xfrm>
                          <a:off x="0" y="0"/>
                          <a:ext cx="444500" cy="139700"/>
                        </a:xfrm>
                        <a:prstGeom prst="rect">
                          <a:avLst/>
                        </a:prstGeom>
                        <a:solidFill>
                          <a:prstClr val="white"/>
                        </a:solidFill>
                        <a:ln>
                          <a:noFill/>
                        </a:ln>
                      </wps:spPr>
                      <wps:txbx>
                        <w:txbxContent>
                          <w:p w14:paraId="385154EF" w14:textId="77777777" w:rsidR="007215A1" w:rsidRPr="00CF3F1D" w:rsidRDefault="007215A1" w:rsidP="007215A1">
                            <w:pPr>
                              <w:pStyle w:val="Caption"/>
                              <w:rPr>
                                <w:rFonts w:ascii="Times New Roman" w:eastAsia="Times New Roman" w:hAnsi="Times New Roman" w:cs="Times New Roman"/>
                                <w:noProof/>
                              </w:rPr>
                            </w:pPr>
                            <w:r>
                              <w:t xml:space="preserve">Figure 2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B1D945" id="_x0000_t202" coordsize="21600,21600" o:spt="202" path="m,l,21600r21600,l21600,xe">
                <v:stroke joinstyle="miter"/>
                <v:path gradientshapeok="t" o:connecttype="rect"/>
              </v:shapetype>
              <v:shape id="Text Box 1" o:spid="_x0000_s1026" type="#_x0000_t202" style="position:absolute;margin-left:63pt;margin-top:8.65pt;width:35pt;height:1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" stroked="f">
                <v:textbox inset="0,0,0,0">
                  <w:txbxContent>
                    <w:p w:rsidR="007215A1" w:rsidRPr="00CF3F1D" w:rsidRDefault="007215A1" w:rsidP="007215A1">
                      <w:pPr>
                        <w:pStyle w:val="Caption"/>
                        <w:rPr>
                          <w:rFonts w:ascii="Times New Roman" w:eastAsia="Times New Roman" w:hAnsi="Times New Roman" w:cs="Times New Roman"/>
                          <w:noProof/>
                        </w:rPr>
                      </w:pPr>
                      <w:r>
                        <w:t xml:space="preserve">Figure 2 </w:t>
                      </w:r>
                    </w:p>
                  </w:txbxContent>
                </v:textbox>
                <w10:wrap type="tight"/>
              </v:shape>
            </w:pict>
          </mc:Fallback>
        </mc:AlternateContent>
      </w:r>
    </w:p>
    <w:p w14:paraId="5EE1DF26" w14:textId="77777777" w:rsidR="00EC1BD2" w:rsidRDefault="007215A1" w:rsidP="007215A1">
      <w:pPr>
        <w:spacing w:line="240" w:lineRule="auto"/>
        <w:rPr>
          <w:rFonts w:ascii="Times New Roman" w:hAnsi="Times New Roman" w:cs="Times New Roman"/>
          <w:bCs/>
          <w:iCs/>
          <w:sz w:val="24"/>
          <w:szCs w:val="24"/>
        </w:rPr>
      </w:pPr>
      <w:r w:rsidRPr="00F53E6D">
        <w:rPr>
          <w:rFonts w:ascii="Times New Roman" w:eastAsia="Times New Roman" w:hAnsi="Times New Roman" w:cs="Times New Roman"/>
          <w:noProof/>
          <w:sz w:val="24"/>
          <w:szCs w:val="24"/>
        </w:rPr>
        <w:lastRenderedPageBreak/>
        <w:drawing>
          <wp:anchor distT="0" distB="0" distL="114300" distR="114300" simplePos="0" relativeHeight="251660288" behindDoc="1" locked="0" layoutInCell="1" allowOverlap="1" wp14:anchorId="35F19C99" wp14:editId="111173B9">
            <wp:simplePos x="0" y="0"/>
            <wp:positionH relativeFrom="column">
              <wp:posOffset>800100</wp:posOffset>
            </wp:positionH>
            <wp:positionV relativeFrom="paragraph">
              <wp:posOffset>73025</wp:posOffset>
            </wp:positionV>
            <wp:extent cx="4532630" cy="3136900"/>
            <wp:effectExtent l="63500" t="63500" r="128270" b="127000"/>
            <wp:wrapTight wrapText="bothSides">
              <wp:wrapPolygon edited="0">
                <wp:start x="-182" y="-437"/>
                <wp:lineTo x="-303" y="-350"/>
                <wp:lineTo x="-303" y="21862"/>
                <wp:lineTo x="-182" y="22387"/>
                <wp:lineTo x="22030" y="22387"/>
                <wp:lineTo x="22151" y="22037"/>
                <wp:lineTo x="22151" y="1049"/>
                <wp:lineTo x="21969" y="-262"/>
                <wp:lineTo x="21969" y="-437"/>
                <wp:lineTo x="-182" y="-437"/>
              </wp:wrapPolygon>
            </wp:wrapTight>
            <wp:docPr id="2" name="Picture 2">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32630" cy="31369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1A3A8CC6" w14:textId="77777777" w:rsidR="007215A1" w:rsidRDefault="007215A1" w:rsidP="007215A1">
      <w:pPr>
        <w:spacing w:line="240" w:lineRule="auto"/>
        <w:rPr>
          <w:rFonts w:ascii="Times New Roman" w:hAnsi="Times New Roman" w:cs="Times New Roman"/>
          <w:b/>
          <w:iCs/>
          <w:sz w:val="24"/>
          <w:szCs w:val="24"/>
          <w:u w:val="single"/>
        </w:rPr>
      </w:pPr>
    </w:p>
    <w:p w14:paraId="533744D8" w14:textId="77777777" w:rsidR="007215A1" w:rsidRDefault="007215A1" w:rsidP="007215A1">
      <w:pPr>
        <w:spacing w:line="240" w:lineRule="auto"/>
        <w:rPr>
          <w:rFonts w:ascii="Times New Roman" w:hAnsi="Times New Roman" w:cs="Times New Roman"/>
          <w:b/>
          <w:iCs/>
          <w:sz w:val="24"/>
          <w:szCs w:val="24"/>
          <w:u w:val="single"/>
        </w:rPr>
      </w:pPr>
    </w:p>
    <w:p w14:paraId="0A590629" w14:textId="77777777" w:rsidR="007215A1" w:rsidRDefault="007215A1" w:rsidP="007215A1">
      <w:pPr>
        <w:spacing w:line="240" w:lineRule="auto"/>
        <w:rPr>
          <w:rFonts w:ascii="Times New Roman" w:hAnsi="Times New Roman" w:cs="Times New Roman"/>
          <w:b/>
          <w:iCs/>
          <w:sz w:val="24"/>
          <w:szCs w:val="24"/>
          <w:u w:val="single"/>
        </w:rPr>
      </w:pPr>
    </w:p>
    <w:p w14:paraId="144E17C2" w14:textId="77777777" w:rsidR="007215A1" w:rsidRDefault="007215A1" w:rsidP="007215A1">
      <w:pPr>
        <w:spacing w:line="240" w:lineRule="auto"/>
        <w:rPr>
          <w:rFonts w:ascii="Times New Roman" w:hAnsi="Times New Roman" w:cs="Times New Roman"/>
          <w:b/>
          <w:iCs/>
          <w:sz w:val="24"/>
          <w:szCs w:val="24"/>
          <w:u w:val="single"/>
        </w:rPr>
      </w:pPr>
    </w:p>
    <w:p w14:paraId="12F21E2F" w14:textId="77777777" w:rsidR="007215A1" w:rsidRDefault="007215A1" w:rsidP="007215A1">
      <w:pPr>
        <w:spacing w:line="240" w:lineRule="auto"/>
        <w:rPr>
          <w:rFonts w:ascii="Times New Roman" w:hAnsi="Times New Roman" w:cs="Times New Roman"/>
          <w:b/>
          <w:iCs/>
          <w:sz w:val="24"/>
          <w:szCs w:val="24"/>
          <w:u w:val="single"/>
        </w:rPr>
      </w:pPr>
    </w:p>
    <w:p w14:paraId="6D7CA718" w14:textId="77777777" w:rsidR="007215A1" w:rsidRDefault="007215A1" w:rsidP="007215A1">
      <w:pPr>
        <w:spacing w:line="240" w:lineRule="auto"/>
        <w:rPr>
          <w:rFonts w:ascii="Times New Roman" w:hAnsi="Times New Roman" w:cs="Times New Roman"/>
          <w:b/>
          <w:iCs/>
          <w:sz w:val="24"/>
          <w:szCs w:val="24"/>
          <w:u w:val="single"/>
        </w:rPr>
      </w:pPr>
    </w:p>
    <w:p w14:paraId="6223427F" w14:textId="77777777" w:rsidR="007215A1" w:rsidRDefault="007215A1" w:rsidP="007215A1">
      <w:pPr>
        <w:spacing w:line="240" w:lineRule="auto"/>
        <w:rPr>
          <w:rFonts w:ascii="Times New Roman" w:hAnsi="Times New Roman" w:cs="Times New Roman"/>
          <w:b/>
          <w:iCs/>
          <w:sz w:val="24"/>
          <w:szCs w:val="24"/>
          <w:u w:val="single"/>
        </w:rPr>
      </w:pPr>
    </w:p>
    <w:p w14:paraId="7DBAE8DC" w14:textId="77777777" w:rsidR="007215A1" w:rsidRDefault="007215A1" w:rsidP="007215A1">
      <w:pPr>
        <w:spacing w:line="240" w:lineRule="auto"/>
        <w:rPr>
          <w:rFonts w:ascii="Times New Roman" w:hAnsi="Times New Roman" w:cs="Times New Roman"/>
          <w:b/>
          <w:iCs/>
          <w:sz w:val="24"/>
          <w:szCs w:val="24"/>
          <w:u w:val="single"/>
        </w:rPr>
      </w:pPr>
    </w:p>
    <w:p w14:paraId="06844140" w14:textId="77777777" w:rsidR="007215A1" w:rsidRDefault="007215A1" w:rsidP="007215A1">
      <w:pPr>
        <w:spacing w:line="240" w:lineRule="auto"/>
        <w:rPr>
          <w:rFonts w:ascii="Times New Roman" w:hAnsi="Times New Roman" w:cs="Times New Roman"/>
          <w:b/>
          <w:iCs/>
          <w:sz w:val="24"/>
          <w:szCs w:val="24"/>
          <w:u w:val="single"/>
        </w:rPr>
      </w:pPr>
    </w:p>
    <w:p w14:paraId="1AC7FB82" w14:textId="77777777" w:rsidR="007215A1" w:rsidRDefault="007215A1" w:rsidP="007215A1">
      <w:pPr>
        <w:spacing w:line="240" w:lineRule="auto"/>
        <w:rPr>
          <w:rFonts w:ascii="Times New Roman" w:hAnsi="Times New Roman" w:cs="Times New Roman"/>
          <w:b/>
          <w:iCs/>
          <w:sz w:val="24"/>
          <w:szCs w:val="24"/>
          <w:u w:val="single"/>
        </w:rPr>
      </w:pPr>
    </w:p>
    <w:p w14:paraId="05087A1B" w14:textId="77777777" w:rsidR="007215A1" w:rsidRPr="007215A1" w:rsidRDefault="007215A1" w:rsidP="007215A1">
      <w:pPr>
        <w:spacing w:line="240" w:lineRule="auto"/>
        <w:rPr>
          <w:rFonts w:ascii="Times New Roman" w:hAnsi="Times New Roman" w:cs="Times New Roman"/>
          <w:b/>
          <w:iCs/>
          <w:sz w:val="19"/>
          <w:szCs w:val="19"/>
          <w:u w:val="single"/>
        </w:rPr>
      </w:pPr>
      <w:r w:rsidRPr="007215A1">
        <w:rPr>
          <w:rFonts w:ascii="Times New Roman" w:hAnsi="Times New Roman" w:cs="Times New Roman"/>
          <w:bCs/>
          <w:iCs/>
          <w:sz w:val="19"/>
          <w:szCs w:val="19"/>
        </w:rPr>
        <w:t xml:space="preserve">                    </w:t>
      </w:r>
      <w:r>
        <w:rPr>
          <w:rFonts w:ascii="Times New Roman" w:hAnsi="Times New Roman" w:cs="Times New Roman"/>
          <w:bCs/>
          <w:iCs/>
          <w:sz w:val="19"/>
          <w:szCs w:val="19"/>
        </w:rPr>
        <w:t xml:space="preserve">     </w:t>
      </w:r>
    </w:p>
    <w:p w14:paraId="3141030D" w14:textId="77777777" w:rsidR="00A4307E" w:rsidRDefault="00A4307E" w:rsidP="007215A1">
      <w:pPr>
        <w:spacing w:line="240" w:lineRule="auto"/>
        <w:rPr>
          <w:rFonts w:ascii="Times New Roman" w:hAnsi="Times New Roman" w:cs="Times New Roman"/>
          <w:b/>
          <w:iCs/>
          <w:sz w:val="24"/>
          <w:szCs w:val="24"/>
          <w:u w:val="single"/>
        </w:rPr>
      </w:pPr>
    </w:p>
    <w:p w14:paraId="261EC7C4" w14:textId="77777777" w:rsidR="00AE4FD3" w:rsidRDefault="00AE4FD3" w:rsidP="007215A1">
      <w:pPr>
        <w:spacing w:line="240" w:lineRule="auto"/>
        <w:rPr>
          <w:rFonts w:ascii="Times New Roman" w:hAnsi="Times New Roman" w:cs="Times New Roman"/>
          <w:b/>
          <w:iCs/>
          <w:sz w:val="24"/>
          <w:szCs w:val="24"/>
          <w:u w:val="single"/>
        </w:rPr>
      </w:pPr>
      <w:r w:rsidRPr="00AE4FD3">
        <w:rPr>
          <w:rFonts w:ascii="Times New Roman" w:hAnsi="Times New Roman" w:cs="Times New Roman"/>
          <w:b/>
          <w:iCs/>
          <w:sz w:val="24"/>
          <w:szCs w:val="24"/>
          <w:u w:val="single"/>
        </w:rPr>
        <w:t>Assurance</w:t>
      </w:r>
    </w:p>
    <w:p w14:paraId="05E26CF8" w14:textId="77777777" w:rsidR="007215A1" w:rsidRDefault="007215A1" w:rsidP="007215A1">
      <w:pPr>
        <w:spacing w:line="240" w:lineRule="auto"/>
        <w:rPr>
          <w:rFonts w:ascii="Times New Roman" w:eastAsia="Times New Roman" w:hAnsi="Times New Roman" w:cs="Times New Roman"/>
          <w:sz w:val="24"/>
          <w:szCs w:val="24"/>
        </w:rPr>
      </w:pPr>
      <w:r>
        <w:rPr>
          <w:rFonts w:ascii="Times New Roman" w:hAnsi="Times New Roman" w:cs="Times New Roman"/>
          <w:bCs/>
          <w:iCs/>
          <w:sz w:val="24"/>
          <w:szCs w:val="24"/>
        </w:rPr>
        <w:t>According to the US National Library of Medicine and National Institutes of Health, in order to reduce medical errors, provide effective methods of communication and sharing information among clinicians, and better manage patient medical records, the US health care system needs to embrace the advancements in information technology (</w:t>
      </w:r>
      <w:r w:rsidRPr="007215A1">
        <w:rPr>
          <w:rFonts w:ascii="Times New Roman" w:hAnsi="Times New Roman" w:cs="Times New Roman"/>
          <w:bCs/>
          <w:iCs/>
          <w:sz w:val="24"/>
          <w:szCs w:val="24"/>
        </w:rPr>
        <w:t xml:space="preserve">National Academy of Engineering </w:t>
      </w:r>
      <w:r>
        <w:rPr>
          <w:rFonts w:ascii="Times New Roman" w:hAnsi="Times New Roman" w:cs="Times New Roman"/>
          <w:bCs/>
          <w:iCs/>
          <w:sz w:val="24"/>
          <w:szCs w:val="24"/>
        </w:rPr>
        <w:t>&amp;</w:t>
      </w:r>
      <w:r w:rsidRPr="007215A1">
        <w:rPr>
          <w:rFonts w:ascii="Times New Roman" w:hAnsi="Times New Roman" w:cs="Times New Roman"/>
          <w:bCs/>
          <w:iCs/>
          <w:sz w:val="24"/>
          <w:szCs w:val="24"/>
        </w:rPr>
        <w:t xml:space="preserve"> Institute of Medicine</w:t>
      </w:r>
      <w:r>
        <w:rPr>
          <w:rFonts w:ascii="Times New Roman" w:hAnsi="Times New Roman" w:cs="Times New Roman"/>
          <w:bCs/>
          <w:iCs/>
          <w:sz w:val="24"/>
          <w:szCs w:val="24"/>
        </w:rPr>
        <w:t xml:space="preserve"> </w:t>
      </w:r>
      <w:r w:rsidRPr="007215A1">
        <w:rPr>
          <w:rFonts w:ascii="Times New Roman" w:hAnsi="Times New Roman" w:cs="Times New Roman"/>
          <w:bCs/>
          <w:iCs/>
          <w:sz w:val="24"/>
          <w:szCs w:val="24"/>
        </w:rPr>
        <w:t>Committee on Engineering and the Health Care System</w:t>
      </w:r>
      <w:r>
        <w:rPr>
          <w:rFonts w:ascii="Times New Roman" w:hAnsi="Times New Roman" w:cs="Times New Roman"/>
          <w:bCs/>
          <w:iCs/>
          <w:sz w:val="24"/>
          <w:szCs w:val="24"/>
        </w:rPr>
        <w:t xml:space="preserve">, 2005). </w:t>
      </w:r>
      <w:r w:rsidR="007E7537">
        <w:rPr>
          <w:rFonts w:ascii="Times New Roman" w:eastAsia="Times New Roman" w:hAnsi="Times New Roman" w:cs="Times New Roman"/>
          <w:sz w:val="24"/>
          <w:szCs w:val="24"/>
        </w:rPr>
        <w:t xml:space="preserve">In order to properly </w:t>
      </w:r>
      <w:r>
        <w:rPr>
          <w:rFonts w:ascii="Times New Roman" w:eastAsia="Times New Roman" w:hAnsi="Times New Roman" w:cs="Times New Roman"/>
          <w:sz w:val="24"/>
          <w:szCs w:val="24"/>
        </w:rPr>
        <w:t xml:space="preserve">do this and </w:t>
      </w:r>
      <w:r w:rsidR="007E7537">
        <w:rPr>
          <w:rFonts w:ascii="Times New Roman" w:eastAsia="Times New Roman" w:hAnsi="Times New Roman" w:cs="Times New Roman"/>
          <w:sz w:val="24"/>
          <w:szCs w:val="24"/>
        </w:rPr>
        <w:t>combat the issue of the lack of inoperable EMR systems in the US health</w:t>
      </w:r>
      <w:r>
        <w:rPr>
          <w:rFonts w:ascii="Times New Roman" w:eastAsia="Times New Roman" w:hAnsi="Times New Roman" w:cs="Times New Roman"/>
          <w:sz w:val="24"/>
          <w:szCs w:val="24"/>
        </w:rPr>
        <w:t xml:space="preserve"> </w:t>
      </w:r>
      <w:r w:rsidR="007E7537">
        <w:rPr>
          <w:rFonts w:ascii="Times New Roman" w:eastAsia="Times New Roman" w:hAnsi="Times New Roman" w:cs="Times New Roman"/>
          <w:sz w:val="24"/>
          <w:szCs w:val="24"/>
        </w:rPr>
        <w:t xml:space="preserve">care system, there must be policy revisions and assurance mechanisms to ensure that changes are working as they were planned to. </w:t>
      </w:r>
      <w:r>
        <w:rPr>
          <w:rFonts w:ascii="Times New Roman" w:eastAsia="Times New Roman" w:hAnsi="Times New Roman" w:cs="Times New Roman"/>
          <w:sz w:val="24"/>
          <w:szCs w:val="24"/>
        </w:rPr>
        <w:t>As stated in</w:t>
      </w:r>
      <w:r w:rsidR="00AE4FD3">
        <w:rPr>
          <w:rFonts w:ascii="Times New Roman" w:eastAsia="Times New Roman" w:hAnsi="Times New Roman" w:cs="Times New Roman"/>
          <w:sz w:val="24"/>
          <w:szCs w:val="24"/>
        </w:rPr>
        <w:t xml:space="preserve"> the New York Times, the US spends a tremendous amount of money on health care but very little of it goes toward learning which health policies work and which do not; less than 0.1% of total spending is devoted to evaluating the</w:t>
      </w:r>
      <w:r w:rsidR="007E7537">
        <w:rPr>
          <w:rFonts w:ascii="Times New Roman" w:eastAsia="Times New Roman" w:hAnsi="Times New Roman" w:cs="Times New Roman"/>
          <w:sz w:val="24"/>
          <w:szCs w:val="24"/>
        </w:rPr>
        <w:t>se policies</w:t>
      </w:r>
      <w:r w:rsidR="00AE4FD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Frakt, 2019</w:t>
      </w:r>
      <w:r w:rsidR="00AE4FD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Earlier this year, legislation signed into law the Foundations for Evidence Based Policymaking Act of 2018, also known as the Evidence Act. This act will assist in the policy revisions previously recommended, help usher a cultural shift toward evidence based policy, and shine new light on many currently used policies challenges (Hahn, 2019). From its broad support from Congress, it is suggested that many legislators are beginning to see the value of making sure the policies being put in place and funded by them are delivering on their promises (Hahn, 2019). With that being said, this act will assist in getting the revisions being made to the HITECH Act passed and funded. </w:t>
      </w:r>
    </w:p>
    <w:p w14:paraId="5A7B1380" w14:textId="77777777" w:rsidR="0021217A" w:rsidRDefault="007215A1" w:rsidP="007215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Short term (1-5 years), there should be constant revision and studying of issues of operability in the currently defined acceptable EMR systems. Considering the high rates of dissatisfaction from patients and providers due to the difficulties in coordinated care and the rework/waste that is produced in the process, finding transferable systems faster will lead to quicker monetary relief </w:t>
      </w:r>
      <w:r>
        <w:rPr>
          <w:rFonts w:ascii="Times New Roman" w:eastAsia="Times New Roman" w:hAnsi="Times New Roman" w:cs="Times New Roman"/>
          <w:sz w:val="24"/>
          <w:szCs w:val="24"/>
        </w:rPr>
        <w:lastRenderedPageBreak/>
        <w:t xml:space="preserve">and better quality care being provided. Once new, transferable systems are found/created, the HITECH Act will have a redefined selection of acceptable EMR systems. To properly ensure these newly acceptable systems are interoperable, there should be a fraction of the money used in finding them, dedicated to continuous revision of them. No system will ever be perfect, but continuous monitoring and editing will assist in them being utilized in the best way. By allocating at least $2 million a year to EMR system continuous improvement techniques after the new systems have been found and deemed acceptable, the long term objective (5 years) is to improve the satisfaction of patients and providers in relation to the coordination of care and reduce the rate of health care provider burnout due to rework and waste. After the first five years of the newly found EMR systems implementation, data relating to coordination of care and rework/waste will be analyzed to see if there has been improvements in either of the problem areas. Considering they will be constantly reviewed, there should be a significant amount of increased satisfaction and decreased rework/waste in the patient documentation process. </w:t>
      </w:r>
    </w:p>
    <w:p w14:paraId="3EA7F230" w14:textId="77777777" w:rsidR="00BE1C94" w:rsidRDefault="00BE1C94" w:rsidP="007215A1">
      <w:pPr>
        <w:spacing w:line="240" w:lineRule="auto"/>
        <w:rPr>
          <w:rFonts w:ascii="Times New Roman" w:eastAsia="Times New Roman" w:hAnsi="Times New Roman" w:cs="Times New Roman"/>
          <w:sz w:val="24"/>
          <w:szCs w:val="24"/>
        </w:rPr>
      </w:pPr>
    </w:p>
    <w:p w14:paraId="4C02E95D" w14:textId="77777777" w:rsidR="00BE1C94" w:rsidRDefault="00BE1C94" w:rsidP="007215A1">
      <w:pPr>
        <w:spacing w:line="240" w:lineRule="auto"/>
        <w:rPr>
          <w:rFonts w:ascii="Times New Roman" w:eastAsia="Times New Roman" w:hAnsi="Times New Roman" w:cs="Times New Roman"/>
          <w:sz w:val="24"/>
          <w:szCs w:val="24"/>
        </w:rPr>
      </w:pPr>
    </w:p>
    <w:p w14:paraId="26BF6B08" w14:textId="77777777" w:rsidR="00BE1C94" w:rsidRDefault="00BE1C94" w:rsidP="007215A1">
      <w:pPr>
        <w:spacing w:line="240" w:lineRule="auto"/>
        <w:rPr>
          <w:rFonts w:ascii="Times New Roman" w:eastAsia="Times New Roman" w:hAnsi="Times New Roman" w:cs="Times New Roman"/>
          <w:sz w:val="24"/>
          <w:szCs w:val="24"/>
        </w:rPr>
      </w:pPr>
    </w:p>
    <w:p w14:paraId="1879C802" w14:textId="77777777" w:rsidR="00BE1C94" w:rsidRDefault="00BE1C94" w:rsidP="007215A1">
      <w:pPr>
        <w:spacing w:line="240" w:lineRule="auto"/>
        <w:rPr>
          <w:rFonts w:ascii="Times New Roman" w:eastAsia="Times New Roman" w:hAnsi="Times New Roman" w:cs="Times New Roman"/>
          <w:sz w:val="24"/>
          <w:szCs w:val="24"/>
        </w:rPr>
      </w:pPr>
    </w:p>
    <w:p w14:paraId="12FAADC0" w14:textId="77777777" w:rsidR="00BE1C94" w:rsidRDefault="00A4307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5E85AFE" w14:textId="77777777" w:rsidR="00BE1C94" w:rsidRPr="00BE1C94" w:rsidRDefault="00BE1C94" w:rsidP="00BE1C94">
      <w:pPr>
        <w:spacing w:after="0" w:line="240" w:lineRule="auto"/>
        <w:jc w:val="center"/>
        <w:rPr>
          <w:rFonts w:ascii="Times New Roman" w:eastAsia="Times New Roman" w:hAnsi="Times New Roman" w:cs="Times New Roman"/>
          <w:color w:val="000000" w:themeColor="text1"/>
          <w:sz w:val="24"/>
          <w:szCs w:val="24"/>
          <w:shd w:val="clear" w:color="auto" w:fill="FFFFFF"/>
        </w:rPr>
      </w:pPr>
      <w:r w:rsidRPr="00BE1C94">
        <w:rPr>
          <w:rFonts w:ascii="Times New Roman" w:eastAsia="Times New Roman" w:hAnsi="Times New Roman" w:cs="Times New Roman"/>
          <w:color w:val="000000" w:themeColor="text1"/>
          <w:sz w:val="24"/>
          <w:szCs w:val="24"/>
          <w:shd w:val="clear" w:color="auto" w:fill="FFFFFF"/>
        </w:rPr>
        <w:lastRenderedPageBreak/>
        <w:t xml:space="preserve">References </w:t>
      </w:r>
    </w:p>
    <w:p w14:paraId="2DF79D9D" w14:textId="77777777" w:rsidR="00BE1C94" w:rsidRPr="00BE1C94" w:rsidRDefault="00BE1C94" w:rsidP="00BE1C94">
      <w:pPr>
        <w:spacing w:after="0" w:line="240" w:lineRule="auto"/>
        <w:rPr>
          <w:rFonts w:ascii="Times New Roman" w:eastAsia="Times New Roman" w:hAnsi="Times New Roman" w:cs="Times New Roman"/>
          <w:color w:val="000000" w:themeColor="text1"/>
          <w:sz w:val="24"/>
          <w:szCs w:val="24"/>
          <w:shd w:val="clear" w:color="auto" w:fill="FFFFFF"/>
        </w:rPr>
      </w:pPr>
      <w:r w:rsidRPr="00BE1C94">
        <w:rPr>
          <w:rFonts w:ascii="Times New Roman" w:eastAsia="Times New Roman" w:hAnsi="Times New Roman" w:cs="Times New Roman"/>
          <w:color w:val="000000" w:themeColor="text1"/>
          <w:sz w:val="24"/>
          <w:szCs w:val="24"/>
          <w:shd w:val="clear" w:color="auto" w:fill="FFFFFF"/>
        </w:rPr>
        <w:t xml:space="preserve">Adler-Milstein, J. (2017, July 18). Moving Past the EMR Interoperability Blame Game . </w:t>
      </w:r>
    </w:p>
    <w:p w14:paraId="0F6653A0" w14:textId="77777777" w:rsidR="00BE1C94" w:rsidRPr="00BE1C94" w:rsidRDefault="00BE1C94" w:rsidP="00BE1C94">
      <w:pPr>
        <w:spacing w:after="0" w:line="240" w:lineRule="auto"/>
        <w:ind w:firstLine="720"/>
        <w:rPr>
          <w:rFonts w:ascii="Times New Roman" w:eastAsia="Times New Roman" w:hAnsi="Times New Roman" w:cs="Times New Roman"/>
          <w:color w:val="000000" w:themeColor="text1"/>
          <w:sz w:val="24"/>
          <w:szCs w:val="24"/>
          <w:shd w:val="clear" w:color="auto" w:fill="FFFFFF"/>
        </w:rPr>
      </w:pPr>
      <w:r w:rsidRPr="00BE1C94">
        <w:rPr>
          <w:rFonts w:ascii="Times New Roman" w:eastAsia="Times New Roman" w:hAnsi="Times New Roman" w:cs="Times New Roman"/>
          <w:color w:val="000000" w:themeColor="text1"/>
          <w:sz w:val="24"/>
          <w:szCs w:val="24"/>
          <w:shd w:val="clear" w:color="auto" w:fill="FFFFFF"/>
        </w:rPr>
        <w:t xml:space="preserve">Retrieved from </w:t>
      </w:r>
      <w:hyperlink r:id="rId12" w:history="1">
        <w:r w:rsidRPr="00BE1C94">
          <w:rPr>
            <w:rFonts w:ascii="Times New Roman" w:eastAsia="Times New Roman" w:hAnsi="Times New Roman" w:cs="Times New Roman"/>
            <w:color w:val="000000" w:themeColor="text1"/>
            <w:sz w:val="24"/>
            <w:szCs w:val="24"/>
            <w:shd w:val="clear" w:color="auto" w:fill="FFFFFF"/>
          </w:rPr>
          <w:t>https://catalyst.nejm.org/doi/full/10.1056/CAT.17.0448</w:t>
        </w:r>
      </w:hyperlink>
      <w:r w:rsidRPr="00BE1C94">
        <w:rPr>
          <w:rFonts w:ascii="Times New Roman" w:eastAsia="Times New Roman" w:hAnsi="Times New Roman" w:cs="Times New Roman"/>
          <w:color w:val="000000" w:themeColor="text1"/>
          <w:sz w:val="24"/>
          <w:szCs w:val="24"/>
          <w:shd w:val="clear" w:color="auto" w:fill="FFFFFF"/>
        </w:rPr>
        <w:t>.</w:t>
      </w:r>
    </w:p>
    <w:p w14:paraId="63A2CE74" w14:textId="77777777" w:rsidR="00BE1C94" w:rsidRPr="00BE1C94" w:rsidRDefault="00BE1C94" w:rsidP="00BE1C94">
      <w:pPr>
        <w:spacing w:after="0" w:line="240" w:lineRule="auto"/>
        <w:rPr>
          <w:rFonts w:ascii="Times New Roman" w:eastAsia="Times New Roman" w:hAnsi="Times New Roman" w:cs="Times New Roman"/>
          <w:color w:val="000000" w:themeColor="text1"/>
          <w:sz w:val="24"/>
          <w:szCs w:val="24"/>
          <w:shd w:val="clear" w:color="auto" w:fill="FFFFFF"/>
        </w:rPr>
      </w:pPr>
      <w:r w:rsidRPr="00BE1C94">
        <w:rPr>
          <w:rFonts w:ascii="Times New Roman" w:eastAsia="Times New Roman" w:hAnsi="Times New Roman" w:cs="Times New Roman"/>
          <w:color w:val="000000" w:themeColor="text1"/>
          <w:sz w:val="24"/>
          <w:szCs w:val="24"/>
          <w:shd w:val="clear" w:color="auto" w:fill="FFFFFF"/>
        </w:rPr>
        <w:t xml:space="preserve">Adoption of EHR Systems among U.S. Non-Federal Acute Care Hospitals: </w:t>
      </w:r>
    </w:p>
    <w:p w14:paraId="77D73438" w14:textId="77777777" w:rsidR="00BE1C94" w:rsidRPr="00BE1C94" w:rsidRDefault="00BE1C94" w:rsidP="00BE1C94">
      <w:pPr>
        <w:spacing w:after="0" w:line="240" w:lineRule="auto"/>
        <w:ind w:left="720"/>
        <w:rPr>
          <w:rFonts w:ascii="Times New Roman" w:eastAsia="Times New Roman" w:hAnsi="Times New Roman" w:cs="Times New Roman"/>
          <w:color w:val="000000" w:themeColor="text1"/>
          <w:sz w:val="24"/>
          <w:szCs w:val="24"/>
        </w:rPr>
      </w:pPr>
      <w:r w:rsidRPr="00BE1C94">
        <w:rPr>
          <w:rFonts w:ascii="Times New Roman" w:eastAsia="Times New Roman" w:hAnsi="Times New Roman" w:cs="Times New Roman"/>
          <w:color w:val="000000" w:themeColor="text1"/>
          <w:sz w:val="24"/>
          <w:szCs w:val="24"/>
          <w:shd w:val="clear" w:color="auto" w:fill="FFFFFF"/>
        </w:rPr>
        <w:t xml:space="preserve">2008-2015. (2015). Retrieved from </w:t>
      </w:r>
      <w:hyperlink r:id="rId13" w:history="1">
        <w:r w:rsidRPr="00BE1C94">
          <w:rPr>
            <w:rFonts w:ascii="Times New Roman" w:eastAsia="Times New Roman" w:hAnsi="Times New Roman" w:cs="Times New Roman"/>
            <w:color w:val="000000" w:themeColor="text1"/>
            <w:sz w:val="24"/>
            <w:szCs w:val="24"/>
            <w:shd w:val="clear" w:color="auto" w:fill="FFFFFF"/>
          </w:rPr>
          <w:t>https://dashboard.healthit.gov/evaluations/data-</w:t>
        </w:r>
      </w:hyperlink>
      <w:r w:rsidRPr="00BE1C94">
        <w:rPr>
          <w:rFonts w:ascii="Times New Roman" w:eastAsia="Times New Roman" w:hAnsi="Times New Roman" w:cs="Times New Roman"/>
          <w:color w:val="000000" w:themeColor="text1"/>
          <w:sz w:val="24"/>
          <w:szCs w:val="24"/>
          <w:shd w:val="clear" w:color="auto" w:fill="FFFFFF"/>
        </w:rPr>
        <w:t>briefs/non-federal-acute-care-hospital-ehr-adoption-2008-2015.php.</w:t>
      </w:r>
    </w:p>
    <w:p w14:paraId="15FB40C2" w14:textId="77777777" w:rsidR="00BE1C94" w:rsidRPr="00BE1C94" w:rsidRDefault="00BE1C94" w:rsidP="00BE1C94">
      <w:pPr>
        <w:spacing w:after="0" w:line="240" w:lineRule="auto"/>
        <w:rPr>
          <w:rFonts w:ascii="Times New Roman" w:eastAsia="Times New Roman" w:hAnsi="Times New Roman" w:cs="Times New Roman"/>
          <w:color w:val="000000" w:themeColor="text1"/>
          <w:sz w:val="24"/>
          <w:szCs w:val="24"/>
          <w:shd w:val="clear" w:color="auto" w:fill="FFFFFF"/>
        </w:rPr>
      </w:pPr>
      <w:r w:rsidRPr="00BE1C94">
        <w:rPr>
          <w:rFonts w:ascii="Times New Roman" w:eastAsia="Times New Roman" w:hAnsi="Times New Roman" w:cs="Times New Roman"/>
          <w:color w:val="000000" w:themeColor="text1"/>
          <w:sz w:val="24"/>
          <w:szCs w:val="24"/>
          <w:shd w:val="clear" w:color="auto" w:fill="FFFFFF"/>
        </w:rPr>
        <w:t xml:space="preserve">Frakt, A. (2019, September 9). Which Health Policies Actually Work? We Rarely Find Out. </w:t>
      </w:r>
    </w:p>
    <w:p w14:paraId="62F0020E" w14:textId="77777777" w:rsidR="00BE1C94" w:rsidRPr="00BE1C94" w:rsidRDefault="00BE1C94" w:rsidP="00BE1C94">
      <w:pPr>
        <w:spacing w:after="0" w:line="240" w:lineRule="auto"/>
        <w:ind w:left="720"/>
        <w:rPr>
          <w:rFonts w:ascii="Times New Roman" w:eastAsia="Times New Roman" w:hAnsi="Times New Roman" w:cs="Times New Roman"/>
          <w:color w:val="000000" w:themeColor="text1"/>
          <w:sz w:val="24"/>
          <w:szCs w:val="24"/>
          <w:shd w:val="clear" w:color="auto" w:fill="FFFFFF"/>
        </w:rPr>
      </w:pPr>
      <w:r w:rsidRPr="00BE1C94">
        <w:rPr>
          <w:rFonts w:ascii="Times New Roman" w:eastAsia="Times New Roman" w:hAnsi="Times New Roman" w:cs="Times New Roman"/>
          <w:color w:val="000000" w:themeColor="text1"/>
          <w:sz w:val="24"/>
          <w:szCs w:val="24"/>
          <w:shd w:val="clear" w:color="auto" w:fill="FFFFFF"/>
        </w:rPr>
        <w:t xml:space="preserve">Retrieved from </w:t>
      </w:r>
      <w:hyperlink r:id="rId14" w:history="1">
        <w:r w:rsidRPr="00BE1C94">
          <w:rPr>
            <w:rFonts w:ascii="Times New Roman" w:eastAsia="Times New Roman" w:hAnsi="Times New Roman" w:cs="Times New Roman"/>
            <w:color w:val="000000" w:themeColor="text1"/>
            <w:sz w:val="24"/>
            <w:szCs w:val="24"/>
            <w:shd w:val="clear" w:color="auto" w:fill="FFFFFF"/>
          </w:rPr>
          <w:t>https://www.nytimes.com/2019/09/09/upshot/which-health-policies-actually-work-we-rarely-find-out.html</w:t>
        </w:r>
      </w:hyperlink>
      <w:r w:rsidRPr="00BE1C94">
        <w:rPr>
          <w:rFonts w:ascii="Times New Roman" w:eastAsia="Times New Roman" w:hAnsi="Times New Roman" w:cs="Times New Roman"/>
          <w:color w:val="000000" w:themeColor="text1"/>
          <w:sz w:val="24"/>
          <w:szCs w:val="24"/>
          <w:shd w:val="clear" w:color="auto" w:fill="FFFFFF"/>
        </w:rPr>
        <w:t xml:space="preserve">. </w:t>
      </w:r>
    </w:p>
    <w:p w14:paraId="2C8BBA0A" w14:textId="77777777" w:rsidR="00BE1C94" w:rsidRPr="00BE1C94" w:rsidRDefault="00BE1C94" w:rsidP="00BE1C94">
      <w:pPr>
        <w:spacing w:after="0" w:line="240" w:lineRule="auto"/>
        <w:rPr>
          <w:rFonts w:ascii="Times New Roman" w:eastAsia="Times New Roman" w:hAnsi="Times New Roman" w:cs="Times New Roman"/>
          <w:color w:val="000000" w:themeColor="text1"/>
          <w:sz w:val="24"/>
          <w:szCs w:val="24"/>
          <w:shd w:val="clear" w:color="auto" w:fill="FFFFFF"/>
        </w:rPr>
      </w:pPr>
      <w:r w:rsidRPr="00BE1C94">
        <w:rPr>
          <w:rFonts w:ascii="Times New Roman" w:eastAsia="Times New Roman" w:hAnsi="Times New Roman" w:cs="Times New Roman"/>
          <w:color w:val="000000" w:themeColor="text1"/>
          <w:sz w:val="24"/>
          <w:szCs w:val="24"/>
          <w:shd w:val="clear" w:color="auto" w:fill="FFFFFF"/>
        </w:rPr>
        <w:t xml:space="preserve">Hahn, R. (2019, May 10). Building upon foundations for evidence-based policy. Retrieved from </w:t>
      </w:r>
    </w:p>
    <w:p w14:paraId="076CDB24" w14:textId="77777777" w:rsidR="00BE1C94" w:rsidRPr="00BE1C94" w:rsidRDefault="00BE1C94" w:rsidP="00BE1C94">
      <w:pPr>
        <w:spacing w:after="0" w:line="240" w:lineRule="auto"/>
        <w:ind w:firstLine="720"/>
        <w:rPr>
          <w:rFonts w:ascii="Times New Roman" w:eastAsia="Times New Roman" w:hAnsi="Times New Roman" w:cs="Times New Roman"/>
          <w:color w:val="000000" w:themeColor="text1"/>
          <w:sz w:val="24"/>
          <w:szCs w:val="24"/>
        </w:rPr>
      </w:pPr>
      <w:r w:rsidRPr="00BE1C94">
        <w:rPr>
          <w:rFonts w:ascii="Times New Roman" w:eastAsia="Times New Roman" w:hAnsi="Times New Roman" w:cs="Times New Roman"/>
          <w:color w:val="000000" w:themeColor="text1"/>
          <w:sz w:val="24"/>
          <w:szCs w:val="24"/>
          <w:shd w:val="clear" w:color="auto" w:fill="FFFFFF"/>
        </w:rPr>
        <w:t>https://science.sciencemag.org/content/364/6440/534.</w:t>
      </w:r>
    </w:p>
    <w:p w14:paraId="761FAED2" w14:textId="77777777" w:rsidR="00BE1C94" w:rsidRPr="00BE1C94" w:rsidRDefault="00BE1C94" w:rsidP="00BE1C94">
      <w:pPr>
        <w:spacing w:after="0" w:line="240" w:lineRule="auto"/>
        <w:rPr>
          <w:rFonts w:ascii="Times New Roman" w:eastAsia="Times New Roman" w:hAnsi="Times New Roman" w:cs="Times New Roman"/>
          <w:color w:val="000000" w:themeColor="text1"/>
          <w:sz w:val="24"/>
          <w:szCs w:val="24"/>
          <w:shd w:val="clear" w:color="auto" w:fill="FFFFFF"/>
        </w:rPr>
      </w:pPr>
      <w:r w:rsidRPr="00BE1C94">
        <w:rPr>
          <w:rFonts w:ascii="Times New Roman" w:eastAsia="Times New Roman" w:hAnsi="Times New Roman" w:cs="Times New Roman"/>
          <w:color w:val="000000" w:themeColor="text1"/>
          <w:sz w:val="24"/>
          <w:szCs w:val="24"/>
          <w:shd w:val="clear" w:color="auto" w:fill="FFFFFF"/>
        </w:rPr>
        <w:t>Halamka, J. (2010, September 28). Electronic Health Record Standards. Retrieved from</w:t>
      </w:r>
    </w:p>
    <w:p w14:paraId="388297B7" w14:textId="77777777" w:rsidR="00BE1C94" w:rsidRPr="00BE1C94" w:rsidRDefault="00956EB4" w:rsidP="00BE1C94">
      <w:pPr>
        <w:spacing w:after="0" w:line="240" w:lineRule="auto"/>
        <w:ind w:firstLine="720"/>
        <w:rPr>
          <w:rFonts w:ascii="Times New Roman" w:eastAsia="Times New Roman" w:hAnsi="Times New Roman" w:cs="Times New Roman"/>
          <w:color w:val="000000" w:themeColor="text1"/>
          <w:sz w:val="24"/>
          <w:szCs w:val="24"/>
          <w:shd w:val="clear" w:color="auto" w:fill="FFFFFF"/>
        </w:rPr>
      </w:pPr>
      <w:hyperlink r:id="rId15" w:history="1">
        <w:r w:rsidR="00BE1C94" w:rsidRPr="00BE1C94">
          <w:rPr>
            <w:rFonts w:ascii="Times New Roman" w:eastAsia="Times New Roman" w:hAnsi="Times New Roman" w:cs="Times New Roman"/>
            <w:color w:val="000000" w:themeColor="text1"/>
            <w:sz w:val="24"/>
            <w:szCs w:val="24"/>
            <w:shd w:val="clear" w:color="auto" w:fill="FFFFFF"/>
          </w:rPr>
          <w:t>https://www.healthaffairs.org/do/10.1377/hpb20100928.658660/full/</w:t>
        </w:r>
      </w:hyperlink>
      <w:r w:rsidR="00BE1C94" w:rsidRPr="00BE1C94">
        <w:rPr>
          <w:rFonts w:ascii="Times New Roman" w:eastAsia="Times New Roman" w:hAnsi="Times New Roman" w:cs="Times New Roman"/>
          <w:color w:val="000000" w:themeColor="text1"/>
          <w:sz w:val="24"/>
          <w:szCs w:val="24"/>
          <w:shd w:val="clear" w:color="auto" w:fill="FFFFFF"/>
        </w:rPr>
        <w:t>.</w:t>
      </w:r>
    </w:p>
    <w:p w14:paraId="050310D7" w14:textId="77777777" w:rsidR="00BE1C94" w:rsidRPr="00BE1C94" w:rsidRDefault="00BE1C94" w:rsidP="00BE1C94">
      <w:pPr>
        <w:spacing w:after="0" w:line="240" w:lineRule="auto"/>
        <w:rPr>
          <w:rFonts w:ascii="Times New Roman" w:eastAsia="Times New Roman" w:hAnsi="Times New Roman" w:cs="Times New Roman"/>
          <w:color w:val="000000" w:themeColor="text1"/>
          <w:sz w:val="24"/>
          <w:szCs w:val="24"/>
          <w:shd w:val="clear" w:color="auto" w:fill="FFFFFF"/>
        </w:rPr>
      </w:pPr>
      <w:r w:rsidRPr="00BE1C94">
        <w:rPr>
          <w:rFonts w:ascii="Times New Roman" w:eastAsia="Times New Roman" w:hAnsi="Times New Roman" w:cs="Times New Roman"/>
          <w:color w:val="000000" w:themeColor="text1"/>
          <w:sz w:val="24"/>
          <w:szCs w:val="24"/>
          <w:shd w:val="clear" w:color="auto" w:fill="FFFFFF"/>
        </w:rPr>
        <w:t xml:space="preserve">Harris, P. A. (2019, November 14). New research intensifies AMA's call for improved EHR </w:t>
      </w:r>
    </w:p>
    <w:p w14:paraId="61A9B4E9" w14:textId="77777777" w:rsidR="00BE1C94" w:rsidRPr="00BE1C94" w:rsidRDefault="00BE1C94" w:rsidP="00BE1C94">
      <w:pPr>
        <w:spacing w:after="0" w:line="240" w:lineRule="auto"/>
        <w:ind w:left="720"/>
        <w:rPr>
          <w:rFonts w:ascii="Times New Roman" w:eastAsia="Times New Roman" w:hAnsi="Times New Roman" w:cs="Times New Roman"/>
          <w:color w:val="000000" w:themeColor="text1"/>
          <w:sz w:val="24"/>
          <w:szCs w:val="24"/>
        </w:rPr>
      </w:pPr>
      <w:r w:rsidRPr="00BE1C94">
        <w:rPr>
          <w:rFonts w:ascii="Times New Roman" w:eastAsia="Times New Roman" w:hAnsi="Times New Roman" w:cs="Times New Roman"/>
          <w:color w:val="000000" w:themeColor="text1"/>
          <w:sz w:val="24"/>
          <w:szCs w:val="24"/>
          <w:shd w:val="clear" w:color="auto" w:fill="FFFFFF"/>
        </w:rPr>
        <w:t xml:space="preserve">usability. Retrieved from </w:t>
      </w:r>
      <w:hyperlink r:id="rId16" w:history="1">
        <w:r w:rsidRPr="00BE1C94">
          <w:rPr>
            <w:rFonts w:ascii="Times New Roman" w:eastAsia="Times New Roman" w:hAnsi="Times New Roman" w:cs="Times New Roman"/>
            <w:color w:val="000000" w:themeColor="text1"/>
            <w:sz w:val="24"/>
            <w:szCs w:val="24"/>
            <w:shd w:val="clear" w:color="auto" w:fill="FFFFFF"/>
          </w:rPr>
          <w:t>https://www.ama-assn.org/press-center/ama-statements/new-research-intensifies-ama-s-call-improved-ehr-usability</w:t>
        </w:r>
      </w:hyperlink>
      <w:r w:rsidRPr="00BE1C94">
        <w:rPr>
          <w:rFonts w:ascii="Times New Roman" w:eastAsia="Times New Roman" w:hAnsi="Times New Roman" w:cs="Times New Roman"/>
          <w:color w:val="000000" w:themeColor="text1"/>
          <w:sz w:val="24"/>
          <w:szCs w:val="24"/>
          <w:shd w:val="clear" w:color="auto" w:fill="FFFFFF"/>
        </w:rPr>
        <w:t xml:space="preserve">. </w:t>
      </w:r>
    </w:p>
    <w:p w14:paraId="468E4050" w14:textId="77777777" w:rsidR="00BE1C94" w:rsidRPr="00BE1C94" w:rsidRDefault="00BE1C94" w:rsidP="00BE1C94">
      <w:pPr>
        <w:spacing w:after="0" w:line="240" w:lineRule="auto"/>
        <w:rPr>
          <w:rFonts w:ascii="Times New Roman" w:eastAsia="Times New Roman" w:hAnsi="Times New Roman" w:cs="Times New Roman"/>
          <w:color w:val="000000" w:themeColor="text1"/>
          <w:sz w:val="24"/>
          <w:szCs w:val="24"/>
          <w:shd w:val="clear" w:color="auto" w:fill="FFFFFF"/>
        </w:rPr>
      </w:pPr>
      <w:r w:rsidRPr="00BE1C94">
        <w:rPr>
          <w:rFonts w:ascii="Times New Roman" w:eastAsia="Times New Roman" w:hAnsi="Times New Roman" w:cs="Times New Roman"/>
          <w:color w:val="000000" w:themeColor="text1"/>
          <w:sz w:val="24"/>
          <w:szCs w:val="24"/>
          <w:shd w:val="clear" w:color="auto" w:fill="FFFFFF"/>
        </w:rPr>
        <w:t xml:space="preserve">HHS Office of the Secretary,Office for Civil Rights. (2017, June 16). HITECH Act Enforcement </w:t>
      </w:r>
    </w:p>
    <w:p w14:paraId="5A460598" w14:textId="77777777" w:rsidR="00BE1C94" w:rsidRPr="00BE1C94" w:rsidRDefault="00BE1C94" w:rsidP="00BE1C94">
      <w:pPr>
        <w:spacing w:after="0" w:line="240" w:lineRule="auto"/>
        <w:ind w:left="720"/>
        <w:rPr>
          <w:rFonts w:ascii="Times New Roman" w:eastAsia="Times New Roman" w:hAnsi="Times New Roman" w:cs="Times New Roman"/>
          <w:color w:val="000000" w:themeColor="text1"/>
          <w:sz w:val="24"/>
          <w:szCs w:val="24"/>
        </w:rPr>
      </w:pPr>
      <w:r w:rsidRPr="00BE1C94">
        <w:rPr>
          <w:rFonts w:ascii="Times New Roman" w:eastAsia="Times New Roman" w:hAnsi="Times New Roman" w:cs="Times New Roman"/>
          <w:color w:val="000000" w:themeColor="text1"/>
          <w:sz w:val="24"/>
          <w:szCs w:val="24"/>
          <w:shd w:val="clear" w:color="auto" w:fill="FFFFFF"/>
        </w:rPr>
        <w:t xml:space="preserve">Interim Final Rule. Retrieved from </w:t>
      </w:r>
      <w:hyperlink r:id="rId17" w:history="1">
        <w:r w:rsidRPr="00BE1C94">
          <w:rPr>
            <w:rFonts w:ascii="Times New Roman" w:eastAsia="Times New Roman" w:hAnsi="Times New Roman" w:cs="Times New Roman"/>
            <w:color w:val="000000" w:themeColor="text1"/>
            <w:sz w:val="24"/>
            <w:szCs w:val="24"/>
            <w:shd w:val="clear" w:color="auto" w:fill="FFFFFF"/>
          </w:rPr>
          <w:t>https://www.hhs.gov/hipaa/for-professionals/special-</w:t>
        </w:r>
      </w:hyperlink>
      <w:r w:rsidRPr="00BE1C94">
        <w:rPr>
          <w:rFonts w:ascii="Times New Roman" w:eastAsia="Times New Roman" w:hAnsi="Times New Roman" w:cs="Times New Roman"/>
          <w:color w:val="000000" w:themeColor="text1"/>
          <w:sz w:val="24"/>
          <w:szCs w:val="24"/>
          <w:shd w:val="clear" w:color="auto" w:fill="FFFFFF"/>
        </w:rPr>
        <w:t>topics/hitech-act-enforcement-interim-final-rule/index.html.</w:t>
      </w:r>
    </w:p>
    <w:p w14:paraId="4B516B77" w14:textId="77777777" w:rsidR="00BE1C94" w:rsidRPr="00BE1C94" w:rsidRDefault="00BE1C94" w:rsidP="00BE1C94">
      <w:pPr>
        <w:spacing w:after="0" w:line="240" w:lineRule="auto"/>
        <w:rPr>
          <w:rFonts w:ascii="Times New Roman" w:eastAsia="Times New Roman" w:hAnsi="Times New Roman" w:cs="Times New Roman"/>
          <w:color w:val="000000" w:themeColor="text1"/>
          <w:sz w:val="24"/>
          <w:szCs w:val="24"/>
          <w:shd w:val="clear" w:color="auto" w:fill="FFFFFF"/>
        </w:rPr>
      </w:pPr>
      <w:r w:rsidRPr="00BE1C94">
        <w:rPr>
          <w:rFonts w:ascii="Times New Roman" w:eastAsia="Times New Roman" w:hAnsi="Times New Roman" w:cs="Times New Roman"/>
          <w:color w:val="000000" w:themeColor="text1"/>
          <w:sz w:val="24"/>
          <w:szCs w:val="24"/>
          <w:shd w:val="clear" w:color="auto" w:fill="FFFFFF"/>
        </w:rPr>
        <w:t xml:space="preserve">Lee, J., Kuo, Y.-F., &amp; Goodwin, J. S. (2013, February 1). The effect of electronic medical record </w:t>
      </w:r>
    </w:p>
    <w:p w14:paraId="0D948681" w14:textId="77777777" w:rsidR="00BE1C94" w:rsidRPr="00BE1C94" w:rsidRDefault="00BE1C94" w:rsidP="00BE1C94">
      <w:pPr>
        <w:spacing w:after="0" w:line="240" w:lineRule="auto"/>
        <w:ind w:left="720"/>
        <w:rPr>
          <w:rFonts w:ascii="Times New Roman" w:eastAsia="Times New Roman" w:hAnsi="Times New Roman" w:cs="Times New Roman"/>
          <w:color w:val="000000" w:themeColor="text1"/>
          <w:sz w:val="24"/>
          <w:szCs w:val="24"/>
          <w:shd w:val="clear" w:color="auto" w:fill="FFFFFF"/>
        </w:rPr>
      </w:pPr>
      <w:r w:rsidRPr="00BE1C94">
        <w:rPr>
          <w:rFonts w:ascii="Times New Roman" w:eastAsia="Times New Roman" w:hAnsi="Times New Roman" w:cs="Times New Roman"/>
          <w:color w:val="000000" w:themeColor="text1"/>
          <w:sz w:val="24"/>
          <w:szCs w:val="24"/>
          <w:shd w:val="clear" w:color="auto" w:fill="FFFFFF"/>
        </w:rPr>
        <w:t xml:space="preserve">adoption on outcomes in US hospitals. Retrieved from </w:t>
      </w:r>
      <w:hyperlink r:id="rId18" w:history="1">
        <w:r w:rsidRPr="00BE1C94">
          <w:rPr>
            <w:rFonts w:ascii="Times New Roman" w:eastAsia="Times New Roman" w:hAnsi="Times New Roman" w:cs="Times New Roman"/>
            <w:color w:val="000000" w:themeColor="text1"/>
            <w:sz w:val="24"/>
            <w:szCs w:val="24"/>
            <w:shd w:val="clear" w:color="auto" w:fill="FFFFFF"/>
          </w:rPr>
          <w:t>https://www.ncbi.nlm.nih.gov/pmc/articles/PMC3568047/</w:t>
        </w:r>
      </w:hyperlink>
      <w:r w:rsidRPr="00BE1C94">
        <w:rPr>
          <w:rFonts w:ascii="Times New Roman" w:eastAsia="Times New Roman" w:hAnsi="Times New Roman" w:cs="Times New Roman"/>
          <w:color w:val="000000" w:themeColor="text1"/>
          <w:sz w:val="24"/>
          <w:szCs w:val="24"/>
          <w:shd w:val="clear" w:color="auto" w:fill="FFFFFF"/>
        </w:rPr>
        <w:t>.</w:t>
      </w:r>
    </w:p>
    <w:p w14:paraId="15F8C747" w14:textId="77777777" w:rsidR="00BE1C94" w:rsidRPr="00BE1C94" w:rsidRDefault="00BE1C94" w:rsidP="00BE1C94">
      <w:pPr>
        <w:spacing w:after="0" w:line="240" w:lineRule="auto"/>
        <w:rPr>
          <w:rFonts w:ascii="Times New Roman" w:eastAsia="Times New Roman" w:hAnsi="Times New Roman" w:cs="Times New Roman"/>
          <w:color w:val="000000" w:themeColor="text1"/>
          <w:sz w:val="24"/>
          <w:szCs w:val="24"/>
          <w:shd w:val="clear" w:color="auto" w:fill="FFFFFF"/>
        </w:rPr>
      </w:pPr>
      <w:r w:rsidRPr="00BE1C94">
        <w:rPr>
          <w:rFonts w:ascii="Times New Roman" w:eastAsia="Times New Roman" w:hAnsi="Times New Roman" w:cs="Times New Roman"/>
          <w:color w:val="000000" w:themeColor="text1"/>
          <w:sz w:val="24"/>
          <w:szCs w:val="24"/>
          <w:shd w:val="clear" w:color="auto" w:fill="FFFFFF"/>
        </w:rPr>
        <w:t xml:space="preserve">Melnick, E. R., Dyrbye, L. N., Sinsky, C. A., Trockel, M., West, C. P., Nedelec, L., … Shanafelt, </w:t>
      </w:r>
    </w:p>
    <w:p w14:paraId="04019C0E" w14:textId="77777777" w:rsidR="00BE1C94" w:rsidRPr="00BE1C94" w:rsidRDefault="00BE1C94" w:rsidP="00BE1C94">
      <w:pPr>
        <w:spacing w:after="0" w:line="240" w:lineRule="auto"/>
        <w:ind w:left="720"/>
        <w:rPr>
          <w:rFonts w:ascii="Times New Roman" w:eastAsia="Times New Roman" w:hAnsi="Times New Roman" w:cs="Times New Roman"/>
          <w:color w:val="000000" w:themeColor="text1"/>
          <w:sz w:val="24"/>
          <w:szCs w:val="24"/>
        </w:rPr>
      </w:pPr>
      <w:r w:rsidRPr="00BE1C94">
        <w:rPr>
          <w:rFonts w:ascii="Times New Roman" w:eastAsia="Times New Roman" w:hAnsi="Times New Roman" w:cs="Times New Roman"/>
          <w:color w:val="000000" w:themeColor="text1"/>
          <w:sz w:val="24"/>
          <w:szCs w:val="24"/>
          <w:shd w:val="clear" w:color="auto" w:fill="FFFFFF"/>
        </w:rPr>
        <w:t>T. (2019, September 24). The Association Between Perceived Electronic Health Record Usability and Professional Burnout Among US Physicians. Retrieved from https://www.mayoclinicproceedings.org/article/S0025-6196(19)30836-5/fulltext.</w:t>
      </w:r>
    </w:p>
    <w:p w14:paraId="4CCC6D79" w14:textId="77777777" w:rsidR="00BE1C94" w:rsidRPr="00BE1C94" w:rsidRDefault="00BE1C94" w:rsidP="00BE1C94">
      <w:pPr>
        <w:spacing w:after="0" w:line="240" w:lineRule="auto"/>
        <w:rPr>
          <w:rFonts w:ascii="Times New Roman" w:eastAsia="Times New Roman" w:hAnsi="Times New Roman" w:cs="Times New Roman"/>
          <w:color w:val="000000" w:themeColor="text1"/>
          <w:sz w:val="24"/>
          <w:szCs w:val="24"/>
          <w:shd w:val="clear" w:color="auto" w:fill="FFFFFF"/>
        </w:rPr>
      </w:pPr>
      <w:r w:rsidRPr="00BE1C94">
        <w:rPr>
          <w:rFonts w:ascii="Times New Roman" w:eastAsia="Times New Roman" w:hAnsi="Times New Roman" w:cs="Times New Roman"/>
          <w:color w:val="000000" w:themeColor="text1"/>
          <w:sz w:val="24"/>
          <w:szCs w:val="24"/>
          <w:shd w:val="clear" w:color="auto" w:fill="FFFFFF"/>
        </w:rPr>
        <w:t xml:space="preserve">National Academy of Engineering (US) and Institute of Medicine (US)Committee on </w:t>
      </w:r>
    </w:p>
    <w:p w14:paraId="59909120" w14:textId="77777777" w:rsidR="00BE1C94" w:rsidRPr="00BE1C94" w:rsidRDefault="00BE1C94" w:rsidP="00BE1C94">
      <w:pPr>
        <w:spacing w:after="0" w:line="240" w:lineRule="auto"/>
        <w:ind w:left="720"/>
        <w:rPr>
          <w:rFonts w:ascii="Times New Roman" w:eastAsia="Times New Roman" w:hAnsi="Times New Roman" w:cs="Times New Roman"/>
          <w:color w:val="000000" w:themeColor="text1"/>
          <w:sz w:val="24"/>
          <w:szCs w:val="24"/>
        </w:rPr>
      </w:pPr>
      <w:r w:rsidRPr="00BE1C94">
        <w:rPr>
          <w:rFonts w:ascii="Times New Roman" w:eastAsia="Times New Roman" w:hAnsi="Times New Roman" w:cs="Times New Roman"/>
          <w:color w:val="000000" w:themeColor="text1"/>
          <w:sz w:val="24"/>
          <w:szCs w:val="24"/>
          <w:shd w:val="clear" w:color="auto" w:fill="FFFFFF"/>
        </w:rPr>
        <w:t>Engineering and the Health Care System. (2005). Information and Communications Systems: The Backbone of the Health Care Delivery System. Retrieved from https://www.ncbi.nlm.nih.gov/books/NBK22862/.</w:t>
      </w:r>
    </w:p>
    <w:p w14:paraId="1A1C4E1F" w14:textId="77777777" w:rsidR="00BE1C94" w:rsidRPr="00BE1C94" w:rsidRDefault="00BE1C94" w:rsidP="00BE1C94">
      <w:pPr>
        <w:spacing w:after="0" w:line="240" w:lineRule="auto"/>
        <w:rPr>
          <w:rFonts w:ascii="Times New Roman" w:eastAsia="Times New Roman" w:hAnsi="Times New Roman" w:cs="Times New Roman"/>
          <w:color w:val="000000" w:themeColor="text1"/>
          <w:sz w:val="24"/>
          <w:szCs w:val="24"/>
        </w:rPr>
      </w:pPr>
      <w:r w:rsidRPr="00BE1C94">
        <w:rPr>
          <w:rFonts w:ascii="Times New Roman" w:eastAsia="Times New Roman" w:hAnsi="Times New Roman" w:cs="Times New Roman"/>
          <w:color w:val="000000" w:themeColor="text1"/>
          <w:sz w:val="24"/>
          <w:szCs w:val="24"/>
          <w:shd w:val="clear" w:color="auto" w:fill="FFFFFF"/>
        </w:rPr>
        <w:t>Our History. (2019). Retrieved from https://hcahealthcare.com/about/our-history.dot.</w:t>
      </w:r>
    </w:p>
    <w:p w14:paraId="4AEDB867" w14:textId="77777777" w:rsidR="00BE1C94" w:rsidRPr="00BE1C94" w:rsidRDefault="00BE1C94" w:rsidP="00BE1C94">
      <w:pPr>
        <w:spacing w:after="0" w:line="240" w:lineRule="auto"/>
        <w:rPr>
          <w:rFonts w:ascii="Times New Roman" w:eastAsia="Times New Roman" w:hAnsi="Times New Roman" w:cs="Times New Roman"/>
          <w:color w:val="000000" w:themeColor="text1"/>
          <w:sz w:val="24"/>
          <w:szCs w:val="24"/>
          <w:shd w:val="clear" w:color="auto" w:fill="FFFFFF"/>
        </w:rPr>
      </w:pPr>
      <w:r w:rsidRPr="00BE1C94">
        <w:rPr>
          <w:rFonts w:ascii="Times New Roman" w:eastAsia="Times New Roman" w:hAnsi="Times New Roman" w:cs="Times New Roman"/>
          <w:color w:val="000000" w:themeColor="text1"/>
          <w:sz w:val="24"/>
          <w:szCs w:val="24"/>
          <w:shd w:val="clear" w:color="auto" w:fill="FFFFFF"/>
        </w:rPr>
        <w:t xml:space="preserve">Ray, J. M., Ratwani, R. M., Sinsky, C. A., Friedberg, M. W., Frankel, R. M., Powsner, S. M., … </w:t>
      </w:r>
    </w:p>
    <w:p w14:paraId="1CC829A7" w14:textId="77777777" w:rsidR="00BE1C94" w:rsidRPr="00BE1C94" w:rsidRDefault="00BE1C94" w:rsidP="00BE1C94">
      <w:pPr>
        <w:spacing w:after="0" w:line="240" w:lineRule="auto"/>
        <w:ind w:left="720"/>
        <w:rPr>
          <w:rFonts w:ascii="Times New Roman" w:eastAsia="Times New Roman" w:hAnsi="Times New Roman" w:cs="Times New Roman"/>
          <w:color w:val="000000" w:themeColor="text1"/>
          <w:sz w:val="24"/>
          <w:szCs w:val="24"/>
        </w:rPr>
      </w:pPr>
      <w:r w:rsidRPr="00BE1C94">
        <w:rPr>
          <w:rFonts w:ascii="Times New Roman" w:eastAsia="Times New Roman" w:hAnsi="Times New Roman" w:cs="Times New Roman"/>
          <w:color w:val="000000" w:themeColor="text1"/>
          <w:sz w:val="24"/>
          <w:szCs w:val="24"/>
          <w:shd w:val="clear" w:color="auto" w:fill="FFFFFF"/>
        </w:rPr>
        <w:t>Melnick, E. R. (2019, July 2). Six habits of highly successful health information technology: powerful strategies for design and implementation. Retrieved from https://academic.oup.com/jamia/article-abstract/26/10/1109/5527253?redirectedFrom=fulltext.</w:t>
      </w:r>
    </w:p>
    <w:p w14:paraId="45F2A42A" w14:textId="77777777" w:rsidR="00BE1C94" w:rsidRPr="00BE1C94" w:rsidRDefault="00BE1C94" w:rsidP="00BE1C94">
      <w:pPr>
        <w:spacing w:after="0" w:line="240" w:lineRule="auto"/>
        <w:rPr>
          <w:rFonts w:ascii="Times New Roman" w:eastAsia="Times New Roman" w:hAnsi="Times New Roman" w:cs="Times New Roman"/>
          <w:sz w:val="24"/>
          <w:szCs w:val="24"/>
        </w:rPr>
      </w:pPr>
    </w:p>
    <w:p w14:paraId="0890B774" w14:textId="77777777" w:rsidR="00BE1C94" w:rsidRPr="00BE1C94" w:rsidRDefault="00BE1C94" w:rsidP="00BE1C94">
      <w:pPr>
        <w:spacing w:after="0" w:line="240" w:lineRule="auto"/>
        <w:rPr>
          <w:rFonts w:ascii="Times New Roman" w:eastAsia="Times New Roman" w:hAnsi="Times New Roman" w:cs="Times New Roman"/>
          <w:sz w:val="24"/>
          <w:szCs w:val="24"/>
        </w:rPr>
      </w:pPr>
    </w:p>
    <w:p w14:paraId="32DA889A" w14:textId="77777777" w:rsidR="00BE1C94" w:rsidRPr="00BE1C94" w:rsidRDefault="00BE1C94" w:rsidP="00BE1C94">
      <w:pPr>
        <w:spacing w:after="0" w:line="240" w:lineRule="auto"/>
        <w:rPr>
          <w:sz w:val="24"/>
          <w:szCs w:val="24"/>
        </w:rPr>
      </w:pPr>
    </w:p>
    <w:p w14:paraId="04B73CE9" w14:textId="77777777" w:rsidR="00BE1C94" w:rsidRPr="00BE1C94" w:rsidRDefault="00BE1C94" w:rsidP="00BE1C94">
      <w:pPr>
        <w:spacing w:after="0" w:line="240" w:lineRule="auto"/>
        <w:rPr>
          <w:sz w:val="24"/>
          <w:szCs w:val="24"/>
        </w:rPr>
      </w:pPr>
    </w:p>
    <w:p w14:paraId="04A87CA2" w14:textId="77777777" w:rsidR="006143C1" w:rsidRPr="006143C1" w:rsidRDefault="006143C1" w:rsidP="007215A1">
      <w:pPr>
        <w:spacing w:line="240" w:lineRule="auto"/>
        <w:rPr>
          <w:rFonts w:ascii="Times New Roman" w:hAnsi="Times New Roman" w:cs="Times New Roman"/>
          <w:sz w:val="24"/>
          <w:szCs w:val="24"/>
        </w:rPr>
      </w:pPr>
    </w:p>
    <w:sectPr w:rsidR="006143C1" w:rsidRPr="006143C1" w:rsidSect="00BE1C94">
      <w:headerReference w:type="even" r:id="rId19"/>
      <w:headerReference w:type="default" r:id="rId20"/>
      <w:headerReference w:type="first" r:id="rId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0D8A8E" w14:textId="77777777" w:rsidR="00956EB4" w:rsidRDefault="00956EB4" w:rsidP="00BE1C94">
      <w:pPr>
        <w:spacing w:after="0" w:line="240" w:lineRule="auto"/>
      </w:pPr>
      <w:r>
        <w:separator/>
      </w:r>
    </w:p>
  </w:endnote>
  <w:endnote w:type="continuationSeparator" w:id="0">
    <w:p w14:paraId="0277261B" w14:textId="77777777" w:rsidR="00956EB4" w:rsidRDefault="00956EB4" w:rsidP="00BE1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ebkit-standard">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3773EA" w14:textId="77777777" w:rsidR="00956EB4" w:rsidRDefault="00956EB4" w:rsidP="00BE1C94">
      <w:pPr>
        <w:spacing w:after="0" w:line="240" w:lineRule="auto"/>
      </w:pPr>
      <w:r>
        <w:separator/>
      </w:r>
    </w:p>
  </w:footnote>
  <w:footnote w:type="continuationSeparator" w:id="0">
    <w:p w14:paraId="3FF8C394" w14:textId="77777777" w:rsidR="00956EB4" w:rsidRDefault="00956EB4" w:rsidP="00BE1C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57719668"/>
      <w:docPartObj>
        <w:docPartGallery w:val="Page Numbers (Top of Page)"/>
        <w:docPartUnique/>
      </w:docPartObj>
    </w:sdtPr>
    <w:sdtEndPr>
      <w:rPr>
        <w:rStyle w:val="PageNumber"/>
      </w:rPr>
    </w:sdtEndPr>
    <w:sdtContent>
      <w:p w14:paraId="7720EC7A" w14:textId="77777777" w:rsidR="00BE1C94" w:rsidRDefault="00BE1C94" w:rsidP="003D27A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51CF2FD" w14:textId="77777777" w:rsidR="00BE1C94" w:rsidRDefault="00BE1C94" w:rsidP="00BE1C9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Fonts w:ascii="Times New Roman" w:hAnsi="Times New Roman" w:cs="Times New Roman"/>
        <w:sz w:val="24"/>
        <w:szCs w:val="24"/>
      </w:rPr>
      <w:id w:val="-1156916860"/>
      <w:docPartObj>
        <w:docPartGallery w:val="Page Numbers (Top of Page)"/>
        <w:docPartUnique/>
      </w:docPartObj>
    </w:sdtPr>
    <w:sdtEndPr>
      <w:rPr>
        <w:rStyle w:val="PageNumber"/>
      </w:rPr>
    </w:sdtEndPr>
    <w:sdtContent>
      <w:p w14:paraId="37941D8B" w14:textId="77777777" w:rsidR="00BE1C94" w:rsidRPr="00BE1C94" w:rsidRDefault="00BE1C94" w:rsidP="003D27A6">
        <w:pPr>
          <w:pStyle w:val="Header"/>
          <w:framePr w:wrap="none" w:vAnchor="text" w:hAnchor="margin" w:xAlign="right" w:y="1"/>
          <w:rPr>
            <w:rStyle w:val="PageNumber"/>
            <w:rFonts w:ascii="Times New Roman" w:hAnsi="Times New Roman" w:cs="Times New Roman"/>
            <w:sz w:val="24"/>
            <w:szCs w:val="24"/>
          </w:rPr>
        </w:pPr>
        <w:r w:rsidRPr="00BE1C94">
          <w:rPr>
            <w:rStyle w:val="PageNumber"/>
            <w:rFonts w:ascii="Times New Roman" w:hAnsi="Times New Roman" w:cs="Times New Roman"/>
            <w:sz w:val="24"/>
            <w:szCs w:val="24"/>
          </w:rPr>
          <w:fldChar w:fldCharType="begin"/>
        </w:r>
        <w:r w:rsidRPr="00BE1C94">
          <w:rPr>
            <w:rStyle w:val="PageNumber"/>
            <w:rFonts w:ascii="Times New Roman" w:hAnsi="Times New Roman" w:cs="Times New Roman"/>
            <w:sz w:val="24"/>
            <w:szCs w:val="24"/>
          </w:rPr>
          <w:instrText xml:space="preserve"> PAGE </w:instrText>
        </w:r>
        <w:r w:rsidRPr="00BE1C94">
          <w:rPr>
            <w:rStyle w:val="PageNumber"/>
            <w:rFonts w:ascii="Times New Roman" w:hAnsi="Times New Roman" w:cs="Times New Roman"/>
            <w:sz w:val="24"/>
            <w:szCs w:val="24"/>
          </w:rPr>
          <w:fldChar w:fldCharType="separate"/>
        </w:r>
        <w:r w:rsidRPr="00BE1C94">
          <w:rPr>
            <w:rStyle w:val="PageNumber"/>
            <w:rFonts w:ascii="Times New Roman" w:hAnsi="Times New Roman" w:cs="Times New Roman"/>
            <w:noProof/>
            <w:sz w:val="24"/>
            <w:szCs w:val="24"/>
          </w:rPr>
          <w:t>2</w:t>
        </w:r>
        <w:r w:rsidRPr="00BE1C94">
          <w:rPr>
            <w:rStyle w:val="PageNumber"/>
            <w:rFonts w:ascii="Times New Roman" w:hAnsi="Times New Roman" w:cs="Times New Roman"/>
            <w:sz w:val="24"/>
            <w:szCs w:val="24"/>
          </w:rPr>
          <w:fldChar w:fldCharType="end"/>
        </w:r>
      </w:p>
    </w:sdtContent>
  </w:sdt>
  <w:p w14:paraId="483E1CAA" w14:textId="77777777" w:rsidR="00BE1C94" w:rsidRPr="00BE1C94" w:rsidRDefault="00BE1C94" w:rsidP="00BE1C94">
    <w:pPr>
      <w:pStyle w:val="Header"/>
      <w:ind w:right="360"/>
      <w:rPr>
        <w:rFonts w:ascii="Times New Roman" w:hAnsi="Times New Roman" w:cs="Times New Roman"/>
        <w:sz w:val="24"/>
        <w:szCs w:val="24"/>
      </w:rPr>
    </w:pPr>
    <w:r>
      <w:rPr>
        <w:rFonts w:ascii="Times New Roman" w:hAnsi="Times New Roman" w:cs="Times New Roman"/>
        <w:sz w:val="24"/>
        <w:szCs w:val="24"/>
      </w:rPr>
      <w:t xml:space="preserve">POLICY PROJECT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Fonts w:ascii="Times New Roman" w:hAnsi="Times New Roman" w:cs="Times New Roman"/>
        <w:sz w:val="24"/>
        <w:szCs w:val="24"/>
      </w:rPr>
      <w:id w:val="-1259207538"/>
      <w:docPartObj>
        <w:docPartGallery w:val="Page Numbers (Top of Page)"/>
        <w:docPartUnique/>
      </w:docPartObj>
    </w:sdtPr>
    <w:sdtEndPr>
      <w:rPr>
        <w:rStyle w:val="PageNumber"/>
      </w:rPr>
    </w:sdtEndPr>
    <w:sdtContent>
      <w:p w14:paraId="1E39B49F" w14:textId="77777777" w:rsidR="00BE1C94" w:rsidRPr="00BE1C94" w:rsidRDefault="00BE1C94" w:rsidP="003D27A6">
        <w:pPr>
          <w:pStyle w:val="Header"/>
          <w:framePr w:wrap="none" w:vAnchor="text" w:hAnchor="margin" w:xAlign="right" w:y="1"/>
          <w:rPr>
            <w:rStyle w:val="PageNumber"/>
            <w:rFonts w:ascii="Times New Roman" w:hAnsi="Times New Roman" w:cs="Times New Roman"/>
            <w:sz w:val="24"/>
            <w:szCs w:val="24"/>
          </w:rPr>
        </w:pPr>
        <w:r w:rsidRPr="00BE1C94">
          <w:rPr>
            <w:rStyle w:val="PageNumber"/>
            <w:rFonts w:ascii="Times New Roman" w:hAnsi="Times New Roman" w:cs="Times New Roman"/>
            <w:sz w:val="24"/>
            <w:szCs w:val="24"/>
          </w:rPr>
          <w:fldChar w:fldCharType="begin"/>
        </w:r>
        <w:r w:rsidRPr="00BE1C94">
          <w:rPr>
            <w:rStyle w:val="PageNumber"/>
            <w:rFonts w:ascii="Times New Roman" w:hAnsi="Times New Roman" w:cs="Times New Roman"/>
            <w:sz w:val="24"/>
            <w:szCs w:val="24"/>
          </w:rPr>
          <w:instrText xml:space="preserve"> PAGE </w:instrText>
        </w:r>
        <w:r w:rsidRPr="00BE1C94">
          <w:rPr>
            <w:rStyle w:val="PageNumber"/>
            <w:rFonts w:ascii="Times New Roman" w:hAnsi="Times New Roman" w:cs="Times New Roman"/>
            <w:sz w:val="24"/>
            <w:szCs w:val="24"/>
          </w:rPr>
          <w:fldChar w:fldCharType="separate"/>
        </w:r>
        <w:r w:rsidRPr="00BE1C94">
          <w:rPr>
            <w:rStyle w:val="PageNumber"/>
            <w:rFonts w:ascii="Times New Roman" w:hAnsi="Times New Roman" w:cs="Times New Roman"/>
            <w:noProof/>
            <w:sz w:val="24"/>
            <w:szCs w:val="24"/>
          </w:rPr>
          <w:t>1</w:t>
        </w:r>
        <w:r w:rsidRPr="00BE1C94">
          <w:rPr>
            <w:rStyle w:val="PageNumber"/>
            <w:rFonts w:ascii="Times New Roman" w:hAnsi="Times New Roman" w:cs="Times New Roman"/>
            <w:sz w:val="24"/>
            <w:szCs w:val="24"/>
          </w:rPr>
          <w:fldChar w:fldCharType="end"/>
        </w:r>
      </w:p>
    </w:sdtContent>
  </w:sdt>
  <w:p w14:paraId="26D2F488" w14:textId="77777777" w:rsidR="00BE1C94" w:rsidRPr="00BE1C94" w:rsidRDefault="00BE1C94" w:rsidP="00BE1C94">
    <w:pPr>
      <w:pStyle w:val="Header"/>
      <w:ind w:right="360"/>
      <w:rPr>
        <w:rFonts w:ascii="Times New Roman" w:hAnsi="Times New Roman" w:cs="Times New Roman"/>
        <w:sz w:val="24"/>
        <w:szCs w:val="24"/>
      </w:rPr>
    </w:pPr>
    <w:r>
      <w:rPr>
        <w:rFonts w:ascii="Times New Roman" w:hAnsi="Times New Roman" w:cs="Times New Roman"/>
        <w:sz w:val="24"/>
        <w:szCs w:val="24"/>
      </w:rPr>
      <w:t xml:space="preserve">Running head: POLICY PROJECT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8A76C0"/>
    <w:multiLevelType w:val="hybridMultilevel"/>
    <w:tmpl w:val="DFAA04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BBA"/>
    <w:rsid w:val="0003346C"/>
    <w:rsid w:val="001E1C25"/>
    <w:rsid w:val="001F352C"/>
    <w:rsid w:val="0021217A"/>
    <w:rsid w:val="0024702E"/>
    <w:rsid w:val="003139DA"/>
    <w:rsid w:val="00391305"/>
    <w:rsid w:val="00403BBA"/>
    <w:rsid w:val="004536CD"/>
    <w:rsid w:val="00456D67"/>
    <w:rsid w:val="00474E7A"/>
    <w:rsid w:val="00502201"/>
    <w:rsid w:val="005F5D3D"/>
    <w:rsid w:val="006143C1"/>
    <w:rsid w:val="00643C7A"/>
    <w:rsid w:val="007215A1"/>
    <w:rsid w:val="007E7537"/>
    <w:rsid w:val="008E2440"/>
    <w:rsid w:val="008F730D"/>
    <w:rsid w:val="00956EB4"/>
    <w:rsid w:val="00973F67"/>
    <w:rsid w:val="00984454"/>
    <w:rsid w:val="00A21C0C"/>
    <w:rsid w:val="00A4307E"/>
    <w:rsid w:val="00AE4FD3"/>
    <w:rsid w:val="00B53A96"/>
    <w:rsid w:val="00BE1C94"/>
    <w:rsid w:val="00D17BC3"/>
    <w:rsid w:val="00D4207A"/>
    <w:rsid w:val="00D771D0"/>
    <w:rsid w:val="00DE4F4A"/>
    <w:rsid w:val="00E533B0"/>
    <w:rsid w:val="00E577FE"/>
    <w:rsid w:val="00EC1BD2"/>
    <w:rsid w:val="00F41C84"/>
    <w:rsid w:val="00F53E6D"/>
    <w:rsid w:val="00F84A3B"/>
    <w:rsid w:val="00FA0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D0EDF"/>
  <w15:chartTrackingRefBased/>
  <w15:docId w15:val="{A03811EC-2D3B-AE48-9D67-DBD3529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BB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3BB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03BBA"/>
    <w:rPr>
      <w:rFonts w:ascii="Times New Roman" w:hAnsi="Times New Roman" w:cs="Times New Roman"/>
      <w:sz w:val="18"/>
      <w:szCs w:val="18"/>
    </w:rPr>
  </w:style>
  <w:style w:type="paragraph" w:styleId="ListParagraph">
    <w:name w:val="List Paragraph"/>
    <w:basedOn w:val="Normal"/>
    <w:uiPriority w:val="34"/>
    <w:qFormat/>
    <w:rsid w:val="006143C1"/>
    <w:pPr>
      <w:ind w:left="720"/>
      <w:contextualSpacing/>
    </w:pPr>
  </w:style>
  <w:style w:type="character" w:styleId="Hyperlink">
    <w:name w:val="Hyperlink"/>
    <w:basedOn w:val="DefaultParagraphFont"/>
    <w:uiPriority w:val="99"/>
    <w:unhideWhenUsed/>
    <w:rsid w:val="005F5D3D"/>
    <w:rPr>
      <w:color w:val="0563C1" w:themeColor="hyperlink"/>
      <w:u w:val="single"/>
    </w:rPr>
  </w:style>
  <w:style w:type="character" w:styleId="UnresolvedMention">
    <w:name w:val="Unresolved Mention"/>
    <w:basedOn w:val="DefaultParagraphFont"/>
    <w:uiPriority w:val="99"/>
    <w:semiHidden/>
    <w:unhideWhenUsed/>
    <w:rsid w:val="005F5D3D"/>
    <w:rPr>
      <w:color w:val="605E5C"/>
      <w:shd w:val="clear" w:color="auto" w:fill="E1DFDD"/>
    </w:rPr>
  </w:style>
  <w:style w:type="character" w:styleId="FollowedHyperlink">
    <w:name w:val="FollowedHyperlink"/>
    <w:basedOn w:val="DefaultParagraphFont"/>
    <w:uiPriority w:val="99"/>
    <w:semiHidden/>
    <w:unhideWhenUsed/>
    <w:rsid w:val="007215A1"/>
    <w:rPr>
      <w:color w:val="954F72" w:themeColor="followedHyperlink"/>
      <w:u w:val="single"/>
    </w:rPr>
  </w:style>
  <w:style w:type="paragraph" w:styleId="Caption">
    <w:name w:val="caption"/>
    <w:basedOn w:val="Normal"/>
    <w:next w:val="Normal"/>
    <w:uiPriority w:val="35"/>
    <w:unhideWhenUsed/>
    <w:qFormat/>
    <w:rsid w:val="007215A1"/>
    <w:pPr>
      <w:spacing w:line="240" w:lineRule="auto"/>
    </w:pPr>
    <w:rPr>
      <w:i/>
      <w:iCs/>
      <w:color w:val="44546A" w:themeColor="text2"/>
      <w:sz w:val="18"/>
      <w:szCs w:val="18"/>
    </w:rPr>
  </w:style>
  <w:style w:type="paragraph" w:styleId="Header">
    <w:name w:val="header"/>
    <w:basedOn w:val="Normal"/>
    <w:link w:val="HeaderChar"/>
    <w:uiPriority w:val="99"/>
    <w:unhideWhenUsed/>
    <w:rsid w:val="00BE1C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1C94"/>
    <w:rPr>
      <w:sz w:val="22"/>
      <w:szCs w:val="22"/>
    </w:rPr>
  </w:style>
  <w:style w:type="paragraph" w:styleId="Footer">
    <w:name w:val="footer"/>
    <w:basedOn w:val="Normal"/>
    <w:link w:val="FooterChar"/>
    <w:uiPriority w:val="99"/>
    <w:unhideWhenUsed/>
    <w:rsid w:val="00BE1C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1C94"/>
    <w:rPr>
      <w:sz w:val="22"/>
      <w:szCs w:val="22"/>
    </w:rPr>
  </w:style>
  <w:style w:type="character" w:styleId="PageNumber">
    <w:name w:val="page number"/>
    <w:basedOn w:val="DefaultParagraphFont"/>
    <w:uiPriority w:val="99"/>
    <w:semiHidden/>
    <w:unhideWhenUsed/>
    <w:rsid w:val="00BE1C94"/>
  </w:style>
  <w:style w:type="paragraph" w:styleId="NormalWeb">
    <w:name w:val="Normal (Web)"/>
    <w:basedOn w:val="Normal"/>
    <w:uiPriority w:val="99"/>
    <w:semiHidden/>
    <w:unhideWhenUsed/>
    <w:rsid w:val="00A4307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2932828">
      <w:bodyDiv w:val="1"/>
      <w:marLeft w:val="0"/>
      <w:marRight w:val="0"/>
      <w:marTop w:val="0"/>
      <w:marBottom w:val="0"/>
      <w:divBdr>
        <w:top w:val="none" w:sz="0" w:space="0" w:color="auto"/>
        <w:left w:val="none" w:sz="0" w:space="0" w:color="auto"/>
        <w:bottom w:val="none" w:sz="0" w:space="0" w:color="auto"/>
        <w:right w:val="none" w:sz="0" w:space="0" w:color="auto"/>
      </w:divBdr>
    </w:div>
    <w:div w:id="1394280821">
      <w:bodyDiv w:val="1"/>
      <w:marLeft w:val="0"/>
      <w:marRight w:val="0"/>
      <w:marTop w:val="0"/>
      <w:marBottom w:val="0"/>
      <w:divBdr>
        <w:top w:val="none" w:sz="0" w:space="0" w:color="auto"/>
        <w:left w:val="none" w:sz="0" w:space="0" w:color="auto"/>
        <w:bottom w:val="none" w:sz="0" w:space="0" w:color="auto"/>
        <w:right w:val="none" w:sz="0" w:space="0" w:color="auto"/>
      </w:divBdr>
    </w:div>
    <w:div w:id="1460956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shboard.healthit.gov/evaluations/data-briefs/non-federal-acute-care-hospital-ehr-adoption-2008-2015.php" TargetMode="External"/><Relationship Id="rId13" Type="http://schemas.openxmlformats.org/officeDocument/2006/relationships/hyperlink" Target="https://dashboard.healthit.gov/evaluations/data-" TargetMode="External"/><Relationship Id="rId18" Type="http://schemas.openxmlformats.org/officeDocument/2006/relationships/hyperlink" Target="https://www.ncbi.nlm.nih.gov/pmc/articles/PMC3568047/"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catalyst.nejm.org/doi/full/10.1056/CAT.17.0448" TargetMode="External"/><Relationship Id="rId17" Type="http://schemas.openxmlformats.org/officeDocument/2006/relationships/hyperlink" Target="https://www.hhs.gov/hipaa/for-professionals/special-" TargetMode="External"/><Relationship Id="rId2" Type="http://schemas.openxmlformats.org/officeDocument/2006/relationships/numbering" Target="numbering.xml"/><Relationship Id="rId16" Type="http://schemas.openxmlformats.org/officeDocument/2006/relationships/hyperlink" Target="https://www.ama-assn.org/press-center/ama-statements/new-research-intensifies-ama-s-call-improved-ehr-usability"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s://www.healthaffairs.org/do/10.1377/hpb20100928.658660/full/" TargetMode="External"/><Relationship Id="rId23" Type="http://schemas.openxmlformats.org/officeDocument/2006/relationships/theme" Target="theme/theme1.xml"/><Relationship Id="rId10" Type="http://schemas.openxmlformats.org/officeDocument/2006/relationships/hyperlink" Target="https://www.mayoclinicproceedings.org/article/S0025-6196(19)30836-5/fulltext."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nytimes.com/2019/09/09/upshot/which-health-policies-actually-work-we-rarely-find-out.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DC662D-C9B7-9E42-B1A2-A96B32CDB3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2917</Words>
  <Characters>16630</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Milliken, Abigail, M</dc:creator>
  <cp:keywords/>
  <dc:description/>
  <cp:lastModifiedBy>Ellis-Griffith, Gregory</cp:lastModifiedBy>
  <cp:revision>8</cp:revision>
  <cp:lastPrinted>2019-12-10T16:37:00Z</cp:lastPrinted>
  <dcterms:created xsi:type="dcterms:W3CDTF">2020-11-19T05:11:00Z</dcterms:created>
  <dcterms:modified xsi:type="dcterms:W3CDTF">2020-11-19T05:13:00Z</dcterms:modified>
</cp:coreProperties>
</file>